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7B86">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bookmarkStart w:id="94" w:name="_GoBack"/>
      <w:bookmarkEnd w:id="94"/>
    </w:p>
    <w:p w14:paraId="57AB4591">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345917DC">
      <w:pPr>
        <w:pageBreakBefore w:val="0"/>
        <w:kinsoku/>
        <w:overflowPunct/>
        <w:topLinePunct w:val="0"/>
        <w:autoSpaceDE/>
        <w:autoSpaceDN/>
        <w:bidi w:val="0"/>
        <w:spacing w:beforeLines="30" w:line="560" w:lineRule="exact"/>
        <w:jc w:val="center"/>
        <w:rPr>
          <w:rFonts w:hint="eastAsia" w:ascii="Times New Roman" w:hAnsi="Times New Roman" w:eastAsia="仿宋" w:cs="仿宋"/>
          <w:b/>
          <w:smallCaps w:val="0"/>
          <w:sz w:val="32"/>
          <w:szCs w:val="32"/>
          <w:highlight w:val="none"/>
        </w:rPr>
      </w:pPr>
    </w:p>
    <w:p w14:paraId="49575A7F">
      <w:pPr>
        <w:pageBreakBefore w:val="0"/>
        <w:kinsoku/>
        <w:overflowPunct/>
        <w:topLinePunct w:val="0"/>
        <w:autoSpaceDE/>
        <w:autoSpaceDN/>
        <w:bidi w:val="0"/>
        <w:spacing w:beforeLines="30" w:line="560" w:lineRule="exact"/>
        <w:jc w:val="center"/>
        <w:rPr>
          <w:rFonts w:hint="eastAsia" w:ascii="Times New Roman" w:hAnsi="Times New Roman" w:eastAsia="仿宋" w:cs="仿宋"/>
          <w:b/>
          <w:smallCaps w:val="0"/>
          <w:sz w:val="32"/>
          <w:szCs w:val="32"/>
          <w:highlight w:val="none"/>
        </w:rPr>
      </w:pPr>
    </w:p>
    <w:p w14:paraId="218991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b w:val="0"/>
          <w:bCs/>
          <w:smallCaps w:val="0"/>
          <w:sz w:val="48"/>
          <w:szCs w:val="48"/>
          <w:highlight w:val="none"/>
          <w:lang w:val="en-US"/>
        </w:rPr>
      </w:pPr>
      <w:r>
        <w:rPr>
          <w:rFonts w:hint="eastAsia" w:ascii="Times New Roman" w:hAnsi="Times New Roman" w:eastAsia="方正小标宋简体" w:cs="方正小标宋简体"/>
          <w:b w:val="0"/>
          <w:bCs/>
          <w:smallCaps w:val="0"/>
          <w:sz w:val="48"/>
          <w:szCs w:val="48"/>
          <w:highlight w:val="none"/>
        </w:rPr>
        <w:t>深圳市鹏劳人力资源管理有限公</w:t>
      </w:r>
      <w:r>
        <w:rPr>
          <w:rFonts w:hint="eastAsia" w:ascii="Times New Roman" w:hAnsi="Times New Roman" w:eastAsia="方正小标宋简体" w:cs="方正小标宋简体"/>
          <w:b w:val="0"/>
          <w:bCs/>
          <w:smallCaps w:val="0"/>
          <w:sz w:val="48"/>
          <w:szCs w:val="48"/>
          <w:highlight w:val="none"/>
          <w:lang w:val="en-US" w:eastAsia="zh-CN"/>
        </w:rPr>
        <w:t>2025-2026年度电脑设备租赁服务采购服务项目</w:t>
      </w:r>
    </w:p>
    <w:p w14:paraId="5AF3FDA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b w:val="0"/>
          <w:bCs/>
          <w:smallCaps w:val="0"/>
          <w:sz w:val="48"/>
          <w:szCs w:val="48"/>
          <w:highlight w:val="none"/>
        </w:rPr>
      </w:pPr>
      <w:r>
        <w:rPr>
          <w:rFonts w:hint="eastAsia" w:ascii="Times New Roman" w:hAnsi="Times New Roman" w:eastAsia="方正小标宋简体" w:cs="方正小标宋简体"/>
          <w:b w:val="0"/>
          <w:bCs/>
          <w:smallCaps w:val="0"/>
          <w:sz w:val="48"/>
          <w:szCs w:val="48"/>
          <w:highlight w:val="none"/>
        </w:rPr>
        <w:t>招标文件</w:t>
      </w:r>
    </w:p>
    <w:p w14:paraId="47338A0F">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smallCaps w:val="0"/>
          <w:sz w:val="44"/>
          <w:szCs w:val="44"/>
          <w:highlight w:val="none"/>
        </w:rPr>
      </w:pPr>
    </w:p>
    <w:p w14:paraId="7772D2D1">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smallCaps w:val="0"/>
          <w:highlight w:val="none"/>
        </w:rPr>
      </w:pPr>
    </w:p>
    <w:p w14:paraId="24F3E49A">
      <w:pPr>
        <w:pStyle w:val="2"/>
        <w:rPr>
          <w:rFonts w:hint="eastAsia" w:ascii="Times New Roman" w:hAnsi="Times New Roman"/>
          <w:smallCaps w:val="0"/>
          <w:highlight w:val="none"/>
        </w:rPr>
      </w:pPr>
    </w:p>
    <w:p w14:paraId="67FE6EF5">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采购类别:服务采购</w:t>
      </w:r>
    </w:p>
    <w:p w14:paraId="1B184E52">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招标编号：PLHR-ZB-FW-202</w:t>
      </w:r>
      <w:r>
        <w:rPr>
          <w:rFonts w:hint="eastAsia" w:ascii="Times New Roman" w:hAnsi="Times New Roman" w:eastAsia="黑体" w:cs="黑体"/>
          <w:b w:val="0"/>
          <w:bCs/>
          <w:smallCaps w:val="0"/>
          <w:sz w:val="40"/>
          <w:szCs w:val="40"/>
          <w:highlight w:val="none"/>
          <w:lang w:val="en-US" w:eastAsia="zh-CN"/>
        </w:rPr>
        <w:t>407</w:t>
      </w:r>
    </w:p>
    <w:p w14:paraId="78915610">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p>
    <w:p w14:paraId="26C99D0B">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656145AA">
      <w:pPr>
        <w:pStyle w:val="2"/>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234FEABA">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070ED679">
      <w:pPr>
        <w:pStyle w:val="2"/>
        <w:rPr>
          <w:rFonts w:hint="eastAsia" w:ascii="Times New Roman" w:hAnsi="Times New Roman"/>
          <w:smallCaps w:val="0"/>
          <w:highlight w:val="none"/>
        </w:rPr>
      </w:pPr>
    </w:p>
    <w:p w14:paraId="44F63D6B">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深圳市鹏劳人力资源管理有限公司</w:t>
      </w:r>
    </w:p>
    <w:p w14:paraId="55D402F0">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二〇二</w:t>
      </w:r>
      <w:r>
        <w:rPr>
          <w:rFonts w:hint="eastAsia" w:ascii="Times New Roman" w:hAnsi="Times New Roman" w:eastAsia="黑体" w:cs="黑体"/>
          <w:b w:val="0"/>
          <w:bCs/>
          <w:smallCaps w:val="0"/>
          <w:sz w:val="40"/>
          <w:szCs w:val="40"/>
          <w:highlight w:val="none"/>
          <w:lang w:val="en-US" w:eastAsia="zh-CN"/>
        </w:rPr>
        <w:t>四</w:t>
      </w:r>
      <w:r>
        <w:rPr>
          <w:rFonts w:hint="eastAsia" w:ascii="Times New Roman" w:hAnsi="Times New Roman" w:eastAsia="黑体" w:cs="黑体"/>
          <w:b w:val="0"/>
          <w:bCs/>
          <w:smallCaps w:val="0"/>
          <w:sz w:val="40"/>
          <w:szCs w:val="40"/>
          <w:highlight w:val="none"/>
        </w:rPr>
        <w:t>年</w:t>
      </w:r>
      <w:r>
        <w:rPr>
          <w:rFonts w:hint="eastAsia" w:ascii="Times New Roman" w:hAnsi="Times New Roman" w:eastAsia="黑体" w:cs="黑体"/>
          <w:b w:val="0"/>
          <w:bCs/>
          <w:smallCaps w:val="0"/>
          <w:sz w:val="40"/>
          <w:szCs w:val="40"/>
          <w:highlight w:val="none"/>
          <w:lang w:val="en-US" w:eastAsia="zh-CN"/>
        </w:rPr>
        <w:t>十</w:t>
      </w:r>
      <w:r>
        <w:rPr>
          <w:rFonts w:hint="eastAsia" w:ascii="Times New Roman" w:hAnsi="Times New Roman" w:eastAsia="黑体" w:cs="黑体"/>
          <w:b w:val="0"/>
          <w:bCs/>
          <w:smallCaps w:val="0"/>
          <w:sz w:val="40"/>
          <w:szCs w:val="40"/>
          <w:highlight w:val="none"/>
        </w:rPr>
        <w:t>月</w:t>
      </w:r>
    </w:p>
    <w:p w14:paraId="4B3C5C34">
      <w:pPr>
        <w:pStyle w:val="13"/>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3"/>
        <w:rPr>
          <w:rFonts w:hint="eastAsia" w:ascii="Times New Roman" w:hAnsi="Times New Roman" w:eastAsia="仿宋" w:cs="仿宋"/>
          <w:b w:val="0"/>
          <w:bCs/>
          <w:smallCaps w:val="0"/>
          <w:sz w:val="32"/>
          <w:szCs w:val="32"/>
          <w:highlight w:val="none"/>
        </w:rPr>
        <w:sectPr>
          <w:headerReference r:id="rId4" w:type="first"/>
          <w:headerReference r:id="rId3" w:type="default"/>
          <w:pgSz w:w="11907" w:h="16840"/>
          <w:pgMar w:top="1276" w:right="1275" w:bottom="1135" w:left="1418" w:header="709" w:footer="603" w:gutter="0"/>
          <w:pgBorders>
            <w:top w:val="none" w:sz="0" w:space="0"/>
            <w:left w:val="none" w:sz="0" w:space="0"/>
            <w:bottom w:val="none" w:sz="0" w:space="0"/>
            <w:right w:val="none" w:sz="0" w:space="0"/>
          </w:pgBorders>
          <w:cols w:space="720" w:num="1"/>
          <w:titlePg/>
          <w:docGrid w:linePitch="462" w:charSpace="0"/>
        </w:sectPr>
      </w:pPr>
      <w:bookmarkStart w:id="0" w:name="_Toc2190"/>
    </w:p>
    <w:p w14:paraId="57E1C59D">
      <w:pPr>
        <w:pStyle w:val="8"/>
        <w:pageBreakBefore w:val="0"/>
        <w:kinsoku/>
        <w:overflowPunct/>
        <w:topLinePunct w:val="0"/>
        <w:autoSpaceDE/>
        <w:autoSpaceDN/>
        <w:bidi w:val="0"/>
        <w:spacing w:line="560" w:lineRule="exact"/>
        <w:ind w:left="0" w:leftChars="0" w:firstLine="0" w:firstLineChars="0"/>
        <w:jc w:val="center"/>
        <w:rPr>
          <w:rFonts w:hint="eastAsia" w:ascii="Times New Roman" w:hAnsi="Times New Roman" w:eastAsia="黑体" w:cs="黑体"/>
          <w:b w:val="0"/>
          <w:bCs/>
          <w:smallCaps w:val="0"/>
          <w:sz w:val="44"/>
          <w:szCs w:val="44"/>
          <w:highlight w:val="none"/>
        </w:rPr>
      </w:pPr>
      <w:bookmarkStart w:id="1" w:name="_Toc21460"/>
      <w:bookmarkStart w:id="2" w:name="_Toc11413"/>
      <w:r>
        <w:rPr>
          <w:rFonts w:hint="eastAsia" w:ascii="Times New Roman" w:hAnsi="Times New Roman" w:eastAsia="黑体" w:cs="黑体"/>
          <w:b w:val="0"/>
          <w:bCs/>
          <w:smallCaps w:val="0"/>
          <w:sz w:val="44"/>
          <w:szCs w:val="44"/>
          <w:highlight w:val="none"/>
        </w:rPr>
        <w:t>目 录</w:t>
      </w:r>
      <w:bookmarkEnd w:id="0"/>
      <w:bookmarkEnd w:id="1"/>
      <w:bookmarkEnd w:id="2"/>
      <w:bookmarkStart w:id="3" w:name="_Toc11256885"/>
      <w:bookmarkStart w:id="4" w:name="_Toc10743"/>
      <w:bookmarkStart w:id="5" w:name="_Toc27690_WPSOffice_Level1"/>
    </w:p>
    <w:sdt>
      <w:sdtPr>
        <w:rPr>
          <w:rFonts w:hint="eastAsia" w:ascii="Times New Roman" w:hAnsi="Times New Roman" w:eastAsia="仿宋" w:cs="仿宋"/>
          <w:b/>
          <w:smallCaps w:val="0"/>
          <w:kern w:val="28"/>
          <w:sz w:val="32"/>
          <w:szCs w:val="32"/>
          <w:highlight w:val="none"/>
        </w:rPr>
        <w:id w:val="147481365"/>
        <w:docPartObj>
          <w:docPartGallery w:val="Table of Contents"/>
          <w:docPartUnique/>
        </w:docPartObj>
      </w:sdtPr>
      <w:sdtEndPr>
        <w:rPr>
          <w:rFonts w:hint="eastAsia" w:ascii="Times New Roman" w:hAnsi="Times New Roman" w:eastAsia="仿宋" w:cs="仿宋"/>
          <w:b/>
          <w:smallCaps w:val="0"/>
          <w:kern w:val="28"/>
          <w:sz w:val="32"/>
          <w:szCs w:val="32"/>
          <w:highlight w:val="none"/>
        </w:rPr>
      </w:sdtEndPr>
      <w:sdtContent>
        <w:p w14:paraId="32D54DB6">
          <w:pPr>
            <w:pStyle w:val="13"/>
            <w:pageBreakBefore w:val="0"/>
            <w:kinsoku/>
            <w:overflowPunct/>
            <w:topLinePunct w:val="0"/>
            <w:autoSpaceDE/>
            <w:autoSpaceDN/>
            <w:bidi w:val="0"/>
            <w:spacing w:before="0" w:after="0" w:line="560" w:lineRule="exact"/>
            <w:ind w:firstLine="0" w:firstLineChars="0"/>
            <w:jc w:val="both"/>
            <w:outlineLvl w:val="9"/>
            <w:rPr>
              <w:rFonts w:hint="eastAsia" w:ascii="Times New Roman" w:hAnsi="Times New Roman" w:eastAsia="宋体" w:cs="宋体"/>
              <w:b w:val="0"/>
              <w:bCs/>
              <w:smallCaps w:val="0"/>
              <w:kern w:val="28"/>
              <w:sz w:val="28"/>
              <w:szCs w:val="28"/>
              <w:highlight w:val="none"/>
              <w:lang w:val="en-US" w:eastAsia="zh-CN" w:bidi="ar-SA"/>
            </w:rPr>
          </w:pPr>
          <w:r>
            <w:rPr>
              <w:rFonts w:hint="eastAsia" w:ascii="Times New Roman" w:hAnsi="Times New Roman" w:eastAsia="宋体" w:cs="宋体"/>
              <w:b w:val="0"/>
              <w:bCs/>
              <w:smallCaps w:val="0"/>
              <w:sz w:val="28"/>
              <w:szCs w:val="28"/>
              <w:highlight w:val="none"/>
            </w:rPr>
            <w:fldChar w:fldCharType="begin"/>
          </w:r>
          <w:r>
            <w:rPr>
              <w:rFonts w:hint="eastAsia" w:ascii="Times New Roman" w:hAnsi="Times New Roman" w:eastAsia="宋体" w:cs="宋体"/>
              <w:b w:val="0"/>
              <w:bCs/>
              <w:smallCaps w:val="0"/>
              <w:sz w:val="28"/>
              <w:szCs w:val="28"/>
              <w:highlight w:val="none"/>
            </w:rPr>
            <w:instrText xml:space="preserve">TOC \o "1-3" \h \u </w:instrText>
          </w:r>
          <w:r>
            <w:rPr>
              <w:rFonts w:hint="eastAsia" w:ascii="Times New Roman" w:hAnsi="Times New Roman" w:eastAsia="宋体" w:cs="宋体"/>
              <w:b w:val="0"/>
              <w:bCs/>
              <w:smallCaps w:val="0"/>
              <w:sz w:val="28"/>
              <w:szCs w:val="28"/>
              <w:highlight w:val="none"/>
            </w:rPr>
            <w:fldChar w:fldCharType="separate"/>
          </w:r>
        </w:p>
        <w:p w14:paraId="0DD3AA60">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_Toc31216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第一部分 招标公告</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_Toc31216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AA21B58">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mallCaps w:val="0"/>
              <w:sz w:val="24"/>
              <w:szCs w:val="24"/>
              <w:highlight w:val="none"/>
            </w:rPr>
            <w:fldChar w:fldCharType="begin"/>
          </w:r>
          <w:r>
            <w:rPr>
              <w:rFonts w:hint="eastAsia" w:ascii="仿宋_GB2312" w:hAnsi="仿宋_GB2312" w:eastAsia="仿宋_GB2312" w:cs="仿宋_GB2312"/>
              <w:b w:val="0"/>
              <w:bCs w:val="0"/>
              <w:smallCaps w:val="0"/>
              <w:sz w:val="24"/>
              <w:szCs w:val="24"/>
              <w:highlight w:val="none"/>
            </w:rPr>
            <w:instrText xml:space="preserve"> HYPERLINK \l _Toc22996 </w:instrText>
          </w:r>
          <w:r>
            <w:rPr>
              <w:rFonts w:hint="eastAsia" w:ascii="仿宋_GB2312" w:hAnsi="仿宋_GB2312" w:eastAsia="仿宋_GB2312" w:cs="仿宋_GB2312"/>
              <w:b w:val="0"/>
              <w:bCs w:val="0"/>
              <w:smallCaps w:val="0"/>
              <w:sz w:val="24"/>
              <w:szCs w:val="24"/>
              <w:highlight w:val="none"/>
            </w:rPr>
            <w:fldChar w:fldCharType="separate"/>
          </w:r>
          <w:r>
            <w:rPr>
              <w:rFonts w:hint="eastAsia" w:ascii="仿宋_GB2312" w:hAnsi="仿宋_GB2312" w:eastAsia="仿宋_GB2312" w:cs="仿宋_GB2312"/>
              <w:b w:val="0"/>
              <w:bCs w:val="0"/>
              <w:smallCaps w:val="0"/>
              <w:sz w:val="24"/>
              <w:szCs w:val="24"/>
              <w:highlight w:val="none"/>
              <w:lang w:val="en-US" w:eastAsia="zh-CN"/>
            </w:rPr>
            <w:t>深圳市鹏劳人力资源管理有限公司采购招标</w:t>
          </w:r>
          <w:r>
            <w:rPr>
              <w:rFonts w:hint="eastAsia" w:ascii="仿宋_GB2312" w:hAnsi="仿宋_GB2312" w:eastAsia="仿宋_GB2312" w:cs="仿宋_GB2312"/>
              <w:b w:val="0"/>
              <w:bCs w:val="0"/>
              <w:smallCaps w:val="0"/>
              <w:sz w:val="24"/>
              <w:szCs w:val="24"/>
              <w:highlight w:val="none"/>
            </w:rPr>
            <w:t>报名表</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_Toc22996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mallCaps w:val="0"/>
              <w:sz w:val="24"/>
              <w:szCs w:val="24"/>
              <w:highlight w:val="none"/>
            </w:rPr>
            <w:fldChar w:fldCharType="end"/>
          </w:r>
        </w:p>
        <w:p w14:paraId="77AC233A">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_Toc27913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第二部分 招标文件</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_Toc27913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07DFB41C">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_Toc25375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第一章 项目概况及招标程序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_Toc25375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1315EB2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_Toc28908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一、项目名称</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_Toc28908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8BECAF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_Toc14795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二、招标编号</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_Toc14795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31CA544">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_Toc267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三、投标人资质要求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359A119">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_Toc7077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四、项目内容及需求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_Toc7077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7</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1141011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_Toc14585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eastAsia="zh-CN"/>
            </w:rPr>
            <w:t>五、</w:t>
          </w:r>
          <w:r>
            <w:rPr>
              <w:rFonts w:hint="eastAsia" w:ascii="黑体" w:hAnsi="黑体" w:eastAsia="黑体" w:cs="黑体"/>
              <w:b w:val="0"/>
              <w:bCs w:val="0"/>
              <w:smallCaps w:val="0"/>
              <w:sz w:val="24"/>
              <w:szCs w:val="24"/>
              <w:highlight w:val="none"/>
              <w:lang w:val="zh-CN"/>
            </w:rPr>
            <w:t>项目期限</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_Toc14585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6D9556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_Toc7942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eastAsia="zh-CN"/>
            </w:rPr>
            <w:t>六</w:t>
          </w:r>
          <w:r>
            <w:rPr>
              <w:rFonts w:hint="eastAsia" w:ascii="黑体" w:hAnsi="黑体" w:eastAsia="黑体" w:cs="黑体"/>
              <w:b w:val="0"/>
              <w:bCs w:val="0"/>
              <w:smallCaps w:val="0"/>
              <w:sz w:val="24"/>
              <w:szCs w:val="24"/>
              <w:highlight w:val="none"/>
              <w:lang w:val="zh-CN"/>
            </w:rPr>
            <w:t>、项目</w:t>
          </w:r>
          <w:r>
            <w:rPr>
              <w:rFonts w:hint="eastAsia" w:ascii="黑体" w:hAnsi="黑体" w:eastAsia="黑体" w:cs="黑体"/>
              <w:b w:val="0"/>
              <w:bCs w:val="0"/>
              <w:smallCaps w:val="0"/>
              <w:sz w:val="24"/>
              <w:szCs w:val="24"/>
              <w:highlight w:val="none"/>
              <w:lang w:val="zh-CN" w:eastAsia="zh-CN"/>
            </w:rPr>
            <w:t>费用</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_Toc7942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77B5DFD">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_Toc25206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七</w:t>
          </w:r>
          <w:r>
            <w:rPr>
              <w:rFonts w:hint="eastAsia" w:ascii="黑体" w:hAnsi="黑体" w:eastAsia="黑体" w:cs="黑体"/>
              <w:b w:val="0"/>
              <w:bCs w:val="0"/>
              <w:smallCaps w:val="0"/>
              <w:sz w:val="24"/>
              <w:szCs w:val="24"/>
              <w:highlight w:val="none"/>
            </w:rPr>
            <w:t>、投标文件要求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_Toc25206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B11D368">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_Toc26703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八</w:t>
          </w:r>
          <w:r>
            <w:rPr>
              <w:rFonts w:hint="eastAsia" w:ascii="黑体" w:hAnsi="黑体" w:eastAsia="黑体" w:cs="黑体"/>
              <w:b w:val="0"/>
              <w:bCs w:val="0"/>
              <w:smallCaps w:val="0"/>
              <w:sz w:val="24"/>
              <w:szCs w:val="24"/>
              <w:highlight w:val="none"/>
            </w:rPr>
            <w:t>、投标人须知</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_Toc26703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11</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6DCA06D5">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_Toc4982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九</w:t>
          </w:r>
          <w:r>
            <w:rPr>
              <w:rFonts w:hint="eastAsia" w:ascii="黑体" w:hAnsi="黑体" w:eastAsia="黑体" w:cs="黑体"/>
              <w:b w:val="0"/>
              <w:bCs w:val="0"/>
              <w:smallCaps w:val="0"/>
              <w:sz w:val="24"/>
              <w:szCs w:val="24"/>
              <w:highlight w:val="none"/>
            </w:rPr>
            <w:t>、投标文件作废</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_Toc4982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13</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321E74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_Toc5207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十</w:t>
          </w:r>
          <w:r>
            <w:rPr>
              <w:rFonts w:hint="eastAsia" w:ascii="黑体" w:hAnsi="黑体" w:eastAsia="黑体" w:cs="黑体"/>
              <w:b w:val="0"/>
              <w:bCs w:val="0"/>
              <w:smallCaps w:val="0"/>
              <w:sz w:val="24"/>
              <w:szCs w:val="24"/>
              <w:highlight w:val="none"/>
            </w:rPr>
            <w:t>、其他要求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_Toc5207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13</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A2139C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_Toc8546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一</w:t>
          </w:r>
          <w:r>
            <w:rPr>
              <w:rFonts w:hint="eastAsia" w:ascii="黑体" w:hAnsi="黑体" w:eastAsia="黑体" w:cs="黑体"/>
              <w:b w:val="0"/>
              <w:bCs w:val="0"/>
              <w:smallCaps w:val="0"/>
              <w:sz w:val="24"/>
              <w:szCs w:val="24"/>
              <w:highlight w:val="none"/>
            </w:rPr>
            <w:t>、投标文件递交</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_Toc8546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14</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048224D0">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_Toc18216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二</w:t>
          </w:r>
          <w:r>
            <w:rPr>
              <w:rFonts w:hint="eastAsia" w:ascii="黑体" w:hAnsi="黑体" w:eastAsia="黑体" w:cs="黑体"/>
              <w:b w:val="0"/>
              <w:bCs w:val="0"/>
              <w:smallCaps w:val="0"/>
              <w:sz w:val="24"/>
              <w:szCs w:val="24"/>
              <w:highlight w:val="none"/>
            </w:rPr>
            <w:t>、开标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_Toc18216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15</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F114D0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_Toc15191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三</w:t>
          </w:r>
          <w:r>
            <w:rPr>
              <w:rFonts w:hint="eastAsia" w:ascii="黑体" w:hAnsi="黑体" w:eastAsia="黑体" w:cs="黑体"/>
              <w:b w:val="0"/>
              <w:bCs w:val="0"/>
              <w:smallCaps w:val="0"/>
              <w:sz w:val="24"/>
              <w:szCs w:val="24"/>
              <w:highlight w:val="none"/>
            </w:rPr>
            <w:t>、评标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_Toc15191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49B50CA">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_Toc2490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四</w:t>
          </w:r>
          <w:r>
            <w:rPr>
              <w:rFonts w:hint="eastAsia" w:ascii="黑体" w:hAnsi="黑体" w:eastAsia="黑体" w:cs="黑体"/>
              <w:b w:val="0"/>
              <w:bCs w:val="0"/>
              <w:smallCaps w:val="0"/>
              <w:sz w:val="24"/>
              <w:szCs w:val="24"/>
              <w:highlight w:val="none"/>
            </w:rPr>
            <w:t>、定标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_Toc2490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B92AB74">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_Toc13978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五</w:t>
          </w:r>
          <w:r>
            <w:rPr>
              <w:rFonts w:hint="eastAsia" w:ascii="黑体" w:hAnsi="黑体" w:eastAsia="黑体" w:cs="黑体"/>
              <w:b w:val="0"/>
              <w:bCs w:val="0"/>
              <w:smallCaps w:val="0"/>
              <w:sz w:val="24"/>
              <w:szCs w:val="24"/>
              <w:highlight w:val="none"/>
            </w:rPr>
            <w:t>、结算方式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_Toc13978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3B3C84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_Toc32616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六</w:t>
          </w:r>
          <w:r>
            <w:rPr>
              <w:rFonts w:hint="eastAsia" w:ascii="黑体" w:hAnsi="黑体" w:eastAsia="黑体" w:cs="黑体"/>
              <w:b w:val="0"/>
              <w:bCs w:val="0"/>
              <w:smallCaps w:val="0"/>
              <w:sz w:val="24"/>
              <w:szCs w:val="24"/>
              <w:highlight w:val="none"/>
            </w:rPr>
            <w:t>、解释权</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_Toc32616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BB24FF7">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_Toc29843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第二章 评标程序及标准</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_Toc29843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F936A5D">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_Toc6914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rPr>
            <w:t xml:space="preserve">第三章 </w:t>
          </w:r>
          <w:r>
            <w:rPr>
              <w:rFonts w:hint="eastAsia" w:ascii="黑体" w:hAnsi="黑体" w:eastAsia="黑体" w:cs="黑体"/>
              <w:b w:val="0"/>
              <w:bCs w:val="0"/>
              <w:smallCaps w:val="0"/>
              <w:sz w:val="24"/>
              <w:szCs w:val="24"/>
              <w:highlight w:val="none"/>
            </w:rPr>
            <w:t>合同条款</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_Toc6914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24</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A8C1B25">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_Toc30677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第四章 投标文件格式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_Toc30677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42</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FABAB7A">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_Toc2856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格式1：《唱标信封》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_Toc2856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4BB3350E">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_Toc17718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格式2：开标一览表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_Toc17718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13B4F11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_Toc9895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3：业绩证明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_Toc9895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927B0B3">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lang w:val="en-US" w:eastAsia="zh-CN"/>
            </w:rPr>
            <w:t>格式4：</w:t>
          </w: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_Toc20597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smallCaps w:val="0"/>
              <w:sz w:val="24"/>
              <w:szCs w:val="24"/>
              <w:highlight w:val="none"/>
              <w:lang w:val="en-US" w:eastAsia="zh-CN"/>
            </w:rPr>
            <w:t>服务团队成员名单</w:t>
          </w:r>
          <w:r>
            <w:rPr>
              <w:rFonts w:hint="eastAsia" w:ascii="仿宋_GB2312" w:hAnsi="仿宋_GB2312" w:eastAsia="仿宋_GB2312" w:cs="仿宋_GB2312"/>
              <w:bCs/>
              <w:smallCaps w:val="0"/>
              <w:sz w:val="24"/>
              <w:szCs w:val="24"/>
              <w:highlight w:val="none"/>
            </w:rPr>
            <w:tab/>
          </w: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PAGEREF _Toc20597 \h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smallCaps w:val="0"/>
              <w:sz w:val="24"/>
              <w:szCs w:val="24"/>
              <w:highlight w:val="none"/>
            </w:rPr>
            <w:t>45</w:t>
          </w:r>
          <w:r>
            <w:rPr>
              <w:rFonts w:hint="eastAsia" w:ascii="仿宋_GB2312" w:hAnsi="仿宋_GB2312" w:eastAsia="仿宋_GB2312" w:cs="仿宋_GB2312"/>
              <w:bCs/>
              <w:smallCaps w:val="0"/>
              <w:sz w:val="24"/>
              <w:szCs w:val="24"/>
              <w:highlight w:val="none"/>
            </w:rPr>
            <w:fldChar w:fldCharType="end"/>
          </w:r>
          <w:r>
            <w:rPr>
              <w:rFonts w:hint="eastAsia" w:ascii="仿宋_GB2312" w:hAnsi="仿宋_GB2312" w:eastAsia="仿宋_GB2312" w:cs="仿宋_GB2312"/>
              <w:bCs/>
              <w:smallCaps w:val="0"/>
              <w:sz w:val="24"/>
              <w:szCs w:val="24"/>
              <w:highlight w:val="none"/>
            </w:rPr>
            <w:fldChar w:fldCharType="end"/>
          </w:r>
        </w:p>
        <w:p w14:paraId="338FE33E">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_Toc28635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5</w:t>
          </w:r>
          <w:r>
            <w:rPr>
              <w:rFonts w:hint="eastAsia" w:ascii="仿宋_GB2312" w:hAnsi="仿宋_GB2312" w:eastAsia="仿宋_GB2312" w:cs="仿宋_GB2312"/>
              <w:bCs w:val="0"/>
              <w:smallCaps w:val="0"/>
              <w:sz w:val="24"/>
              <w:szCs w:val="24"/>
              <w:highlight w:val="none"/>
            </w:rPr>
            <w:t>：</w:t>
          </w:r>
          <w:r>
            <w:rPr>
              <w:rFonts w:hint="eastAsia" w:ascii="仿宋_GB2312" w:hAnsi="仿宋_GB2312" w:eastAsia="仿宋_GB2312" w:cs="仿宋_GB2312"/>
              <w:bCs w:val="0"/>
              <w:smallCaps w:val="0"/>
              <w:sz w:val="24"/>
              <w:szCs w:val="24"/>
              <w:highlight w:val="none"/>
              <w:lang w:val="en-US" w:eastAsia="zh-CN"/>
            </w:rPr>
            <w:t>招标文件响应</w:t>
          </w:r>
          <w:r>
            <w:rPr>
              <w:rFonts w:hint="eastAsia" w:ascii="仿宋_GB2312" w:hAnsi="仿宋_GB2312" w:eastAsia="仿宋_GB2312" w:cs="仿宋_GB2312"/>
              <w:bCs w:val="0"/>
              <w:smallCaps w:val="0"/>
              <w:sz w:val="24"/>
              <w:szCs w:val="24"/>
              <w:highlight w:val="none"/>
            </w:rPr>
            <w:t>情况</w:t>
          </w:r>
          <w:r>
            <w:rPr>
              <w:rFonts w:hint="eastAsia" w:ascii="仿宋_GB2312" w:hAnsi="仿宋_GB2312" w:eastAsia="仿宋_GB2312" w:cs="仿宋_GB2312"/>
              <w:bCs w:val="0"/>
              <w:smallCaps w:val="0"/>
              <w:sz w:val="24"/>
              <w:szCs w:val="24"/>
              <w:highlight w:val="none"/>
              <w:lang w:val="en-US" w:eastAsia="zh-CN"/>
            </w:rPr>
            <w:t>偏离表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_Toc28635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8410800">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_Toc6123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6</w:t>
          </w:r>
          <w:r>
            <w:rPr>
              <w:rFonts w:hint="eastAsia" w:ascii="仿宋_GB2312" w:hAnsi="仿宋_GB2312" w:eastAsia="仿宋_GB2312" w:cs="仿宋_GB2312"/>
              <w:bCs w:val="0"/>
              <w:smallCaps w:val="0"/>
              <w:sz w:val="24"/>
              <w:szCs w:val="24"/>
              <w:highlight w:val="none"/>
              <w:lang w:val="zh-CN"/>
            </w:rPr>
            <w:t>：</w:t>
          </w:r>
          <w:r>
            <w:rPr>
              <w:rFonts w:hint="eastAsia" w:ascii="仿宋_GB2312" w:hAnsi="仿宋_GB2312" w:eastAsia="仿宋_GB2312" w:cs="仿宋_GB2312"/>
              <w:bCs w:val="0"/>
              <w:smallCaps w:val="0"/>
              <w:sz w:val="24"/>
              <w:szCs w:val="24"/>
              <w:highlight w:val="none"/>
              <w:lang w:val="en-US" w:eastAsia="zh-CN"/>
            </w:rPr>
            <w:t>服务项目报价单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_Toc6123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922003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_Toc30729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en-US" w:eastAsia="zh-CN"/>
            </w:rPr>
            <w:t>格</w:t>
          </w:r>
          <w:r>
            <w:rPr>
              <w:rFonts w:hint="eastAsia" w:ascii="仿宋_GB2312" w:hAnsi="仿宋_GB2312" w:eastAsia="仿宋_GB2312" w:cs="仿宋_GB2312"/>
              <w:bCs w:val="0"/>
              <w:smallCaps w:val="0"/>
              <w:sz w:val="24"/>
              <w:szCs w:val="24"/>
              <w:highlight w:val="none"/>
              <w:lang w:val="zh-CN"/>
            </w:rPr>
            <w:t>式</w:t>
          </w:r>
          <w:r>
            <w:rPr>
              <w:rFonts w:hint="eastAsia" w:ascii="仿宋_GB2312" w:hAnsi="仿宋_GB2312" w:eastAsia="仿宋_GB2312" w:cs="仿宋_GB2312"/>
              <w:bCs w:val="0"/>
              <w:smallCaps w:val="0"/>
              <w:sz w:val="24"/>
              <w:szCs w:val="24"/>
              <w:highlight w:val="none"/>
              <w:lang w:val="en-US" w:eastAsia="zh-CN"/>
            </w:rPr>
            <w:t>7</w:t>
          </w:r>
          <w:r>
            <w:rPr>
              <w:rFonts w:hint="eastAsia" w:ascii="仿宋_GB2312" w:hAnsi="仿宋_GB2312" w:eastAsia="仿宋_GB2312" w:cs="仿宋_GB2312"/>
              <w:bCs w:val="0"/>
              <w:smallCaps w:val="0"/>
              <w:sz w:val="24"/>
              <w:szCs w:val="24"/>
              <w:highlight w:val="none"/>
              <w:lang w:val="zh-CN"/>
            </w:rPr>
            <w:t>：</w:t>
          </w:r>
          <w:r>
            <w:rPr>
              <w:rFonts w:hint="eastAsia" w:ascii="仿宋_GB2312" w:hAnsi="仿宋_GB2312" w:eastAsia="仿宋_GB2312" w:cs="仿宋_GB2312"/>
              <w:bCs w:val="0"/>
              <w:smallCaps w:val="0"/>
              <w:sz w:val="24"/>
              <w:szCs w:val="24"/>
              <w:highlight w:val="none"/>
              <w:lang w:val="en-US" w:eastAsia="zh-CN"/>
            </w:rPr>
            <w:t>廉洁</w:t>
          </w:r>
          <w:r>
            <w:rPr>
              <w:rFonts w:hint="eastAsia" w:ascii="仿宋_GB2312" w:hAnsi="仿宋_GB2312" w:eastAsia="仿宋_GB2312" w:cs="仿宋_GB2312"/>
              <w:bCs w:val="0"/>
              <w:smallCaps w:val="0"/>
              <w:sz w:val="24"/>
              <w:szCs w:val="24"/>
              <w:highlight w:val="none"/>
              <w:lang w:val="zh-CN"/>
            </w:rPr>
            <w:t>承诺函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_Toc30729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0F86AE5A">
          <w:pPr>
            <w:pageBreakBefore w:val="0"/>
            <w:kinsoku/>
            <w:overflowPunct/>
            <w:topLinePunct w:val="0"/>
            <w:autoSpaceDE/>
            <w:autoSpaceDN/>
            <w:bidi w:val="0"/>
            <w:spacing w:before="0" w:after="0" w:line="560" w:lineRule="exact"/>
            <w:ind w:firstLine="0" w:firstLineChars="0"/>
            <w:jc w:val="both"/>
            <w:outlineLvl w:val="9"/>
            <w:rPr>
              <w:rFonts w:hint="eastAsia" w:ascii="Times New Roman" w:hAnsi="Times New Roman" w:eastAsia="仿宋" w:cs="仿宋"/>
              <w:bCs w:val="0"/>
              <w:smallCaps w:val="0"/>
              <w:sz w:val="32"/>
              <w:szCs w:val="32"/>
              <w:highlight w:val="none"/>
            </w:rPr>
          </w:pPr>
          <w:r>
            <w:rPr>
              <w:rFonts w:hint="eastAsia" w:ascii="Times New Roman" w:hAnsi="Times New Roman" w:eastAsia="宋体" w:cs="宋体"/>
              <w:b w:val="0"/>
              <w:bCs/>
              <w:smallCaps w:val="0"/>
              <w:sz w:val="28"/>
              <w:szCs w:val="28"/>
              <w:highlight w:val="none"/>
            </w:rPr>
            <w:fldChar w:fldCharType="end"/>
          </w:r>
        </w:p>
      </w:sdtContent>
    </w:sdt>
    <w:p w14:paraId="3B22B827">
      <w:pPr>
        <w:pageBreakBefore w:val="0"/>
        <w:tabs>
          <w:tab w:val="left" w:pos="6944"/>
        </w:tabs>
        <w:kinsoku/>
        <w:overflowPunct/>
        <w:topLinePunct w:val="0"/>
        <w:autoSpaceDE/>
        <w:autoSpaceDN/>
        <w:bidi w:val="0"/>
        <w:spacing w:line="560" w:lineRule="exact"/>
        <w:jc w:val="left"/>
        <w:rPr>
          <w:rFonts w:hint="eastAsia" w:ascii="Times New Roman" w:hAnsi="Times New Roman" w:eastAsia="仿宋" w:cs="仿宋"/>
          <w:smallCaps w:val="0"/>
          <w:sz w:val="32"/>
          <w:szCs w:val="32"/>
          <w:highlight w:val="none"/>
        </w:rPr>
        <w:sectPr>
          <w:footerReference r:id="rId5" w:type="default"/>
          <w:pgSz w:w="11907" w:h="16840"/>
          <w:pgMar w:top="2098" w:right="1474" w:bottom="1984" w:left="1587" w:header="709" w:footer="603" w:gutter="0"/>
          <w:pgBorders>
            <w:top w:val="none" w:sz="0" w:space="0"/>
            <w:left w:val="none" w:sz="0" w:space="0"/>
            <w:bottom w:val="none" w:sz="0" w:space="0"/>
            <w:right w:val="none" w:sz="0" w:space="0"/>
          </w:pgBorders>
          <w:pgNumType w:start="1"/>
          <w:cols w:space="720" w:num="1"/>
          <w:docGrid w:linePitch="462" w:charSpace="0"/>
        </w:sectPr>
      </w:pPr>
      <w:r>
        <w:rPr>
          <w:rFonts w:hint="eastAsia" w:ascii="Times New Roman" w:hAnsi="Times New Roman" w:eastAsia="仿宋" w:cs="仿宋"/>
          <w:smallCaps w:val="0"/>
          <w:sz w:val="32"/>
          <w:szCs w:val="32"/>
          <w:highlight w:val="none"/>
        </w:rPr>
        <w:tab/>
      </w:r>
    </w:p>
    <w:bookmarkEnd w:id="3"/>
    <w:bookmarkEnd w:id="4"/>
    <w:bookmarkEnd w:id="5"/>
    <w:p w14:paraId="411F5C79">
      <w:pPr>
        <w:pStyle w:val="3"/>
        <w:pageBreakBefore w:val="0"/>
        <w:kinsoku/>
        <w:overflowPunct/>
        <w:topLinePunct w:val="0"/>
        <w:autoSpaceDE/>
        <w:autoSpaceDN/>
        <w:bidi w:val="0"/>
        <w:spacing w:line="560" w:lineRule="exact"/>
        <w:ind w:firstLine="640" w:firstLineChars="200"/>
        <w:jc w:val="center"/>
        <w:textAlignment w:val="auto"/>
        <w:rPr>
          <w:rFonts w:hint="default" w:ascii="Times New Roman" w:hAnsi="Times New Roman" w:cs="黑体"/>
          <w:b w:val="0"/>
          <w:bCs/>
          <w:smallCaps w:val="0"/>
          <w:sz w:val="32"/>
          <w:szCs w:val="32"/>
          <w:highlight w:val="none"/>
          <w:lang w:val="en-US" w:eastAsia="zh-CN"/>
        </w:rPr>
      </w:pPr>
      <w:bookmarkStart w:id="6" w:name="_Toc31216"/>
      <w:bookmarkStart w:id="7" w:name="_Toc7967"/>
      <w:bookmarkStart w:id="8" w:name="_Toc4395"/>
      <w:r>
        <w:rPr>
          <w:rFonts w:hint="eastAsia" w:ascii="Times New Roman" w:hAnsi="Times New Roman" w:cs="黑体"/>
          <w:b w:val="0"/>
          <w:bCs/>
          <w:smallCaps w:val="0"/>
          <w:sz w:val="32"/>
          <w:szCs w:val="32"/>
          <w:highlight w:val="none"/>
          <w:lang w:val="en-US" w:eastAsia="zh-CN"/>
        </w:rPr>
        <w:t>第一部分 招标公告</w:t>
      </w:r>
      <w:bookmarkEnd w:id="6"/>
    </w:p>
    <w:p w14:paraId="465B090F">
      <w:pPr>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smallCaps w:val="0"/>
          <w:sz w:val="44"/>
          <w:szCs w:val="44"/>
          <w:highlight w:val="none"/>
          <w:lang w:eastAsia="zh-CN"/>
        </w:rPr>
      </w:pPr>
      <w:r>
        <w:rPr>
          <w:rFonts w:hint="eastAsia" w:ascii="Times New Roman" w:hAnsi="Times New Roman" w:eastAsia="方正小标宋简体" w:cs="方正小标宋简体"/>
          <w:b w:val="0"/>
          <w:bCs w:val="0"/>
          <w:smallCaps w:val="0"/>
          <w:kern w:val="44"/>
          <w:sz w:val="44"/>
          <w:szCs w:val="44"/>
          <w:highlight w:val="none"/>
          <w:lang w:val="en-US" w:eastAsia="zh-CN" w:bidi="ar-SA"/>
        </w:rPr>
        <w:t>深圳市鹏劳人力资源管理有限公司2025-2026年度</w:t>
      </w:r>
      <w:bookmarkStart w:id="9" w:name="_Toc27943"/>
      <w:bookmarkStart w:id="10" w:name="_Toc22950"/>
      <w:bookmarkStart w:id="11" w:name="_Toc15827"/>
      <w:r>
        <w:rPr>
          <w:rFonts w:hint="eastAsia" w:ascii="Times New Roman" w:hAnsi="Times New Roman" w:eastAsia="方正小标宋简体" w:cs="方正小标宋简体"/>
          <w:b w:val="0"/>
          <w:bCs w:val="0"/>
          <w:smallCaps w:val="0"/>
          <w:color w:val="000000"/>
          <w:sz w:val="44"/>
          <w:szCs w:val="44"/>
          <w:highlight w:val="none"/>
          <w:lang w:val="en-US" w:eastAsia="zh-CN"/>
        </w:rPr>
        <w:t>电脑设备租赁服务</w:t>
      </w:r>
      <w:r>
        <w:rPr>
          <w:rFonts w:hint="eastAsia" w:ascii="Times New Roman" w:hAnsi="Times New Roman" w:eastAsia="方正小标宋简体" w:cs="方正小标宋简体"/>
          <w:b w:val="0"/>
          <w:bCs w:val="0"/>
          <w:smallCaps w:val="0"/>
          <w:sz w:val="44"/>
          <w:szCs w:val="44"/>
          <w:highlight w:val="none"/>
          <w:lang w:val="en-US" w:eastAsia="zh-CN"/>
        </w:rPr>
        <w:t>采购</w:t>
      </w:r>
      <w:r>
        <w:rPr>
          <w:rFonts w:hint="eastAsia" w:ascii="Times New Roman" w:hAnsi="Times New Roman" w:eastAsia="方正小标宋简体" w:cs="方正小标宋简体"/>
          <w:b w:val="0"/>
          <w:bCs w:val="0"/>
          <w:smallCaps w:val="0"/>
          <w:sz w:val="44"/>
          <w:szCs w:val="44"/>
          <w:highlight w:val="none"/>
          <w:lang w:eastAsia="zh-CN"/>
        </w:rPr>
        <w:t>项目</w:t>
      </w:r>
    </w:p>
    <w:p w14:paraId="058D01B3">
      <w:pPr>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smallCaps w:val="0"/>
          <w:sz w:val="44"/>
          <w:szCs w:val="44"/>
          <w:highlight w:val="none"/>
          <w:lang w:eastAsia="zh-CN"/>
        </w:rPr>
      </w:pPr>
      <w:r>
        <w:rPr>
          <w:rFonts w:hint="eastAsia" w:ascii="Times New Roman" w:hAnsi="Times New Roman" w:eastAsia="方正小标宋简体" w:cs="方正小标宋简体"/>
          <w:b w:val="0"/>
          <w:bCs w:val="0"/>
          <w:smallCaps w:val="0"/>
          <w:sz w:val="44"/>
          <w:szCs w:val="44"/>
          <w:highlight w:val="none"/>
          <w:lang w:eastAsia="zh-CN"/>
        </w:rPr>
        <w:t>招标公告</w:t>
      </w:r>
      <w:bookmarkEnd w:id="7"/>
      <w:bookmarkEnd w:id="9"/>
      <w:bookmarkEnd w:id="10"/>
      <w:bookmarkEnd w:id="11"/>
    </w:p>
    <w:p w14:paraId="50D331FC">
      <w:pPr>
        <w:rPr>
          <w:rFonts w:hint="eastAsia" w:ascii="Times New Roman" w:hAnsi="Times New Roman"/>
          <w:smallCaps w:val="0"/>
          <w:highlight w:val="none"/>
          <w:lang w:eastAsia="zh-CN"/>
        </w:rPr>
      </w:pPr>
    </w:p>
    <w:p w14:paraId="05A3D95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根据《深圳市鹏劳人力资源管理有限公司采购管理暂行办法》、《深圳市鹏劳人力资源管理有限公司招标管理暂行办法》等有关规定，现就本公司电脑设备租赁服务项目（项目编号</w:t>
      </w:r>
      <w:r>
        <w:rPr>
          <w:rFonts w:hint="default" w:ascii="Times New Roman" w:hAnsi="Times New Roman" w:eastAsia="仿宋_GB2312" w:cs="Times New Roman"/>
          <w:bCs/>
          <w:smallCaps w:val="0"/>
          <w:sz w:val="32"/>
          <w:szCs w:val="32"/>
          <w:highlight w:val="none"/>
          <w:lang w:val="en-US" w:eastAsia="zh-CN"/>
        </w:rPr>
        <w:t>：PLHR-ZB-FW-202407</w:t>
      </w:r>
      <w:r>
        <w:rPr>
          <w:rFonts w:hint="eastAsia" w:ascii="Times New Roman" w:hAnsi="Times New Roman" w:eastAsia="仿宋_GB2312" w:cs="仿宋_GB2312"/>
          <w:bCs/>
          <w:smallCaps w:val="0"/>
          <w:sz w:val="32"/>
          <w:szCs w:val="32"/>
          <w:highlight w:val="none"/>
          <w:lang w:val="en-US" w:eastAsia="zh-CN"/>
        </w:rPr>
        <w:t>）面向社会各供方实施公开招标，请有意向参与投标的供方下载《深圳市鹏劳人力资源管理有限公司2025-2026年度电脑设备租赁服务采购项目招标文件》（本公告附件2），按招标文件及本公告要求实施投标：</w:t>
      </w:r>
    </w:p>
    <w:p w14:paraId="35DAF5B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黑体"/>
          <w:bCs/>
          <w:smallCaps w:val="0"/>
          <w:sz w:val="32"/>
          <w:szCs w:val="32"/>
          <w:highlight w:val="none"/>
          <w:lang w:eastAsia="zh-CN"/>
        </w:rPr>
      </w:pPr>
      <w:r>
        <w:rPr>
          <w:rFonts w:hint="eastAsia" w:ascii="Times New Roman" w:hAnsi="Times New Roman" w:eastAsia="黑体" w:cs="黑体"/>
          <w:bCs/>
          <w:smallCaps w:val="0"/>
          <w:sz w:val="32"/>
          <w:szCs w:val="32"/>
          <w:highlight w:val="none"/>
        </w:rPr>
        <w:t>项目</w:t>
      </w:r>
      <w:r>
        <w:rPr>
          <w:rFonts w:hint="eastAsia" w:ascii="Times New Roman" w:hAnsi="Times New Roman" w:eastAsia="黑体" w:cs="黑体"/>
          <w:bCs/>
          <w:smallCaps w:val="0"/>
          <w:sz w:val="32"/>
          <w:szCs w:val="32"/>
          <w:highlight w:val="none"/>
          <w:lang w:eastAsia="zh-CN"/>
        </w:rPr>
        <w:t>名称</w:t>
      </w:r>
    </w:p>
    <w:p w14:paraId="50FE11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2025-2026年度电脑设备租赁服务采购项目</w:t>
      </w:r>
    </w:p>
    <w:p w14:paraId="173FBC9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黑体"/>
          <w:bCs/>
          <w:smallCaps w:val="0"/>
          <w:sz w:val="32"/>
          <w:szCs w:val="32"/>
          <w:highlight w:val="none"/>
          <w:lang w:eastAsia="zh-CN"/>
        </w:rPr>
      </w:pPr>
      <w:r>
        <w:rPr>
          <w:rFonts w:hint="eastAsia" w:ascii="Times New Roman" w:hAnsi="Times New Roman" w:eastAsia="黑体" w:cs="黑体"/>
          <w:bCs/>
          <w:smallCaps w:val="0"/>
          <w:sz w:val="32"/>
          <w:szCs w:val="32"/>
          <w:highlight w:val="none"/>
          <w:lang w:val="en-US" w:eastAsia="zh-CN"/>
        </w:rPr>
        <w:t>项目编号</w:t>
      </w:r>
    </w:p>
    <w:p w14:paraId="1A4FE82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eastAsia="zh-CN"/>
        </w:rPr>
      </w:pPr>
      <w:r>
        <w:rPr>
          <w:rFonts w:hint="eastAsia" w:ascii="Times New Roman" w:hAnsi="Times New Roman" w:eastAsia="仿宋_GB2312" w:cs="仿宋_GB2312"/>
          <w:bCs/>
          <w:smallCaps w:val="0"/>
          <w:sz w:val="32"/>
          <w:szCs w:val="32"/>
          <w:highlight w:val="none"/>
          <w:lang w:val="en-US" w:eastAsia="zh-CN"/>
        </w:rPr>
        <w:t>PLHR-ZB-FW-202407</w:t>
      </w:r>
    </w:p>
    <w:p w14:paraId="0ABAA0E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项目服务费用</w:t>
      </w:r>
    </w:p>
    <w:p w14:paraId="7220D3A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本项目</w:t>
      </w:r>
      <w:r>
        <w:rPr>
          <w:rFonts w:hint="eastAsia" w:ascii="Times New Roman" w:hAnsi="Times New Roman" w:eastAsia="仿宋_GB2312" w:cs="仿宋_GB2312"/>
          <w:bCs/>
          <w:smallCaps w:val="0"/>
          <w:sz w:val="32"/>
          <w:szCs w:val="32"/>
          <w:highlight w:val="none"/>
          <w:lang w:val="en-US" w:eastAsia="zh-CN"/>
        </w:rPr>
        <w:t>不设置限价，总预算价为460800元（含增值税）。</w:t>
      </w:r>
    </w:p>
    <w:p w14:paraId="1F096B62">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仿宋_GB2312" w:cs="仿宋_GB2312"/>
          <w:bCs/>
          <w:smallCaps w:val="0"/>
          <w:color w:val="DDD9C4"/>
          <w:sz w:val="32"/>
          <w:szCs w:val="32"/>
          <w:highlight w:val="none"/>
          <w:lang w:val="zh-CN"/>
        </w:rPr>
      </w:pPr>
      <w:r>
        <w:rPr>
          <w:rFonts w:hint="eastAsia" w:ascii="Times New Roman" w:hAnsi="Times New Roman" w:eastAsia="仿宋_GB2312" w:cs="仿宋_GB2312"/>
          <w:bCs/>
          <w:smallCaps w:val="0"/>
          <w:color w:val="000000"/>
          <w:sz w:val="32"/>
          <w:szCs w:val="32"/>
          <w:highlight w:val="none"/>
          <w:lang w:val="zh-CN"/>
        </w:rPr>
        <w:t>投标</w:t>
      </w:r>
      <w:r>
        <w:rPr>
          <w:rFonts w:hint="eastAsia" w:ascii="Times New Roman" w:hAnsi="Times New Roman" w:eastAsia="仿宋_GB2312" w:cs="仿宋_GB2312"/>
          <w:bCs/>
          <w:smallCaps w:val="0"/>
          <w:color w:val="000000"/>
          <w:sz w:val="32"/>
          <w:szCs w:val="32"/>
          <w:highlight w:val="none"/>
        </w:rPr>
        <w:t>人</w:t>
      </w:r>
      <w:r>
        <w:rPr>
          <w:rFonts w:hint="eastAsia" w:ascii="Times New Roman" w:hAnsi="Times New Roman" w:eastAsia="仿宋_GB2312" w:cs="仿宋_GB2312"/>
          <w:bCs/>
          <w:smallCaps w:val="0"/>
          <w:color w:val="000000"/>
          <w:sz w:val="32"/>
          <w:szCs w:val="32"/>
          <w:highlight w:val="none"/>
          <w:lang w:val="zh-CN"/>
        </w:rPr>
        <w:t>应当根据本企业的成本</w:t>
      </w:r>
      <w:r>
        <w:rPr>
          <w:rFonts w:hint="eastAsia" w:ascii="Times New Roman" w:hAnsi="Times New Roman" w:eastAsia="仿宋_GB2312" w:cs="仿宋_GB2312"/>
          <w:bCs/>
          <w:smallCaps w:val="0"/>
          <w:color w:val="000000"/>
          <w:sz w:val="32"/>
          <w:szCs w:val="32"/>
          <w:highlight w:val="none"/>
          <w:lang w:val="en-US" w:eastAsia="zh-CN"/>
        </w:rPr>
        <w:t>并结合本项目预算</w:t>
      </w:r>
      <w:r>
        <w:rPr>
          <w:rFonts w:hint="eastAsia" w:ascii="Times New Roman" w:hAnsi="Times New Roman" w:eastAsia="仿宋_GB2312" w:cs="仿宋_GB2312"/>
          <w:bCs/>
          <w:smallCaps w:val="0"/>
          <w:color w:val="000000"/>
          <w:sz w:val="32"/>
          <w:szCs w:val="32"/>
          <w:highlight w:val="none"/>
          <w:lang w:val="zh-CN"/>
        </w:rPr>
        <w:t>自行决定</w:t>
      </w:r>
      <w:r>
        <w:rPr>
          <w:rFonts w:hint="eastAsia" w:ascii="Times New Roman" w:hAnsi="Times New Roman" w:eastAsia="仿宋_GB2312" w:cs="仿宋_GB2312"/>
          <w:bCs/>
          <w:smallCaps w:val="0"/>
          <w:color w:val="000000"/>
          <w:sz w:val="32"/>
          <w:szCs w:val="32"/>
          <w:highlight w:val="none"/>
          <w:lang w:val="en-US" w:eastAsia="zh-CN"/>
        </w:rPr>
        <w:t>合理</w:t>
      </w:r>
      <w:r>
        <w:rPr>
          <w:rFonts w:hint="eastAsia" w:ascii="Times New Roman" w:hAnsi="Times New Roman" w:eastAsia="仿宋_GB2312" w:cs="仿宋_GB2312"/>
          <w:bCs/>
          <w:smallCaps w:val="0"/>
          <w:color w:val="000000"/>
          <w:sz w:val="32"/>
          <w:szCs w:val="32"/>
          <w:highlight w:val="none"/>
          <w:lang w:val="zh-CN"/>
        </w:rPr>
        <w:t>报价，但不得以低于其企业成本的报价投标</w:t>
      </w:r>
      <w:r>
        <w:rPr>
          <w:rFonts w:hint="eastAsia" w:ascii="Times New Roman" w:hAnsi="Times New Roman" w:eastAsia="仿宋_GB2312" w:cs="仿宋_GB2312"/>
          <w:bCs/>
          <w:smallCaps w:val="0"/>
          <w:color w:val="auto"/>
          <w:sz w:val="32"/>
          <w:szCs w:val="32"/>
          <w:highlight w:val="none"/>
          <w:lang w:val="zh-CN"/>
        </w:rPr>
        <w:t>。</w:t>
      </w:r>
    </w:p>
    <w:p w14:paraId="0C59C99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项目期限</w:t>
      </w:r>
    </w:p>
    <w:p w14:paraId="3E0103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本项目服务周期为两年。</w:t>
      </w:r>
    </w:p>
    <w:p w14:paraId="22E499C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项目需求</w:t>
      </w:r>
    </w:p>
    <w:p w14:paraId="450D0163">
      <w:pPr>
        <w:keepNext w:val="0"/>
        <w:keepLines w:val="0"/>
        <w:pageBreakBefore w:val="0"/>
        <w:widowControl/>
        <w:kinsoku/>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仿宋_GB2312" w:cs="仿宋_GB2312"/>
          <w:b w:val="0"/>
          <w:bCs w:val="0"/>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在项目周期内，根据招标人</w:t>
      </w:r>
      <w:r>
        <w:rPr>
          <w:rFonts w:hint="eastAsia" w:ascii="Times New Roman" w:hAnsi="Times New Roman" w:eastAsia="仿宋_GB2312" w:cs="仿宋_GB2312"/>
          <w:bCs/>
          <w:smallCaps w:val="0"/>
          <w:sz w:val="32"/>
          <w:szCs w:val="32"/>
          <w:highlight w:val="none"/>
          <w:lang w:val="en-US" w:eastAsia="zh-CN"/>
        </w:rPr>
        <w:t>需求提供</w:t>
      </w:r>
      <w:r>
        <w:rPr>
          <w:rFonts w:hint="eastAsia" w:ascii="Times New Roman" w:hAnsi="Times New Roman" w:eastAsia="仿宋_GB2312" w:cs="仿宋_GB2312"/>
          <w:b w:val="0"/>
          <w:bCs w:val="0"/>
          <w:smallCaps w:val="0"/>
          <w:sz w:val="32"/>
          <w:szCs w:val="32"/>
          <w:highlight w:val="none"/>
          <w:lang w:val="en-US" w:eastAsia="zh-CN"/>
        </w:rPr>
        <w:t>电脑办公设备租赁及相应配套服务。具体设备要求及预算价格如下：</w:t>
      </w:r>
    </w:p>
    <w:tbl>
      <w:tblPr>
        <w:tblStyle w:val="16"/>
        <w:tblW w:w="9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862"/>
        <w:gridCol w:w="1295"/>
        <w:gridCol w:w="1680"/>
        <w:gridCol w:w="1266"/>
        <w:gridCol w:w="1670"/>
        <w:gridCol w:w="858"/>
      </w:tblGrid>
      <w:tr w14:paraId="4E8C6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193" w:type="dxa"/>
            <w:tcBorders>
              <w:tl2br w:val="nil"/>
              <w:tr2bl w:val="nil"/>
            </w:tcBorders>
            <w:noWrap w:val="0"/>
            <w:vAlign w:val="center"/>
          </w:tcPr>
          <w:p w14:paraId="4074C1CE">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配置要求</w:t>
            </w:r>
          </w:p>
        </w:tc>
        <w:tc>
          <w:tcPr>
            <w:tcW w:w="862" w:type="dxa"/>
            <w:tcBorders>
              <w:tl2br w:val="nil"/>
              <w:tr2bl w:val="nil"/>
            </w:tcBorders>
            <w:noWrap w:val="0"/>
            <w:vAlign w:val="center"/>
          </w:tcPr>
          <w:p w14:paraId="521C40A4">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品牌型号</w:t>
            </w:r>
          </w:p>
        </w:tc>
        <w:tc>
          <w:tcPr>
            <w:tcW w:w="1295" w:type="dxa"/>
            <w:tcBorders>
              <w:tl2br w:val="nil"/>
              <w:tr2bl w:val="nil"/>
            </w:tcBorders>
            <w:noWrap w:val="0"/>
            <w:vAlign w:val="center"/>
          </w:tcPr>
          <w:p w14:paraId="3B55F415">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设备成新</w:t>
            </w:r>
          </w:p>
        </w:tc>
        <w:tc>
          <w:tcPr>
            <w:tcW w:w="1680" w:type="dxa"/>
            <w:tcBorders>
              <w:tl2br w:val="nil"/>
              <w:tr2bl w:val="nil"/>
            </w:tcBorders>
            <w:noWrap w:val="0"/>
            <w:vAlign w:val="center"/>
          </w:tcPr>
          <w:p w14:paraId="5F8D7155">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预计租赁费用</w:t>
            </w:r>
          </w:p>
          <w:p w14:paraId="10350F04">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（元/台/月）</w:t>
            </w:r>
          </w:p>
        </w:tc>
        <w:tc>
          <w:tcPr>
            <w:tcW w:w="1266" w:type="dxa"/>
            <w:tcBorders>
              <w:tl2br w:val="nil"/>
              <w:tr2bl w:val="nil"/>
            </w:tcBorders>
            <w:noWrap w:val="0"/>
            <w:vAlign w:val="center"/>
          </w:tcPr>
          <w:p w14:paraId="6C7A591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配置对象</w:t>
            </w:r>
          </w:p>
        </w:tc>
        <w:tc>
          <w:tcPr>
            <w:tcW w:w="1670" w:type="dxa"/>
            <w:tcBorders>
              <w:tl2br w:val="nil"/>
              <w:tr2bl w:val="nil"/>
            </w:tcBorders>
            <w:noWrap w:val="0"/>
            <w:vAlign w:val="center"/>
          </w:tcPr>
          <w:p w14:paraId="711790F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预计租赁数</w:t>
            </w:r>
          </w:p>
        </w:tc>
        <w:tc>
          <w:tcPr>
            <w:tcW w:w="858" w:type="dxa"/>
            <w:tcBorders>
              <w:tl2br w:val="nil"/>
              <w:tr2bl w:val="nil"/>
            </w:tcBorders>
            <w:noWrap w:val="0"/>
            <w:vAlign w:val="center"/>
          </w:tcPr>
          <w:p w14:paraId="1723176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备注</w:t>
            </w:r>
          </w:p>
        </w:tc>
      </w:tr>
      <w:tr w14:paraId="56460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193" w:type="dxa"/>
            <w:tcBorders>
              <w:tl2br w:val="nil"/>
              <w:tr2bl w:val="nil"/>
            </w:tcBorders>
            <w:noWrap w:val="0"/>
            <w:vAlign w:val="center"/>
          </w:tcPr>
          <w:p w14:paraId="1867E0C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不低于i511代CPU、16G内存及512GSSD硬盘</w:t>
            </w:r>
          </w:p>
        </w:tc>
        <w:tc>
          <w:tcPr>
            <w:tcW w:w="862" w:type="dxa"/>
            <w:tcBorders>
              <w:tl2br w:val="nil"/>
              <w:tr2bl w:val="nil"/>
            </w:tcBorders>
            <w:noWrap w:val="0"/>
            <w:vAlign w:val="center"/>
          </w:tcPr>
          <w:p w14:paraId="1B0839A4">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不限</w:t>
            </w:r>
          </w:p>
        </w:tc>
        <w:tc>
          <w:tcPr>
            <w:tcW w:w="1295" w:type="dxa"/>
            <w:tcBorders>
              <w:tl2br w:val="nil"/>
              <w:tr2bl w:val="nil"/>
            </w:tcBorders>
            <w:noWrap w:val="0"/>
            <w:vAlign w:val="center"/>
          </w:tcPr>
          <w:p w14:paraId="1ED894D9">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全新机</w:t>
            </w:r>
          </w:p>
        </w:tc>
        <w:tc>
          <w:tcPr>
            <w:tcW w:w="1680" w:type="dxa"/>
            <w:tcBorders>
              <w:tl2br w:val="nil"/>
              <w:tr2bl w:val="nil"/>
            </w:tcBorders>
            <w:noWrap w:val="0"/>
            <w:vAlign w:val="center"/>
          </w:tcPr>
          <w:p w14:paraId="27646A3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含增值税</w:t>
            </w:r>
          </w:p>
          <w:p w14:paraId="79C6FCB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128元</w:t>
            </w:r>
          </w:p>
        </w:tc>
        <w:tc>
          <w:tcPr>
            <w:tcW w:w="1266" w:type="dxa"/>
            <w:tcBorders>
              <w:tl2br w:val="nil"/>
              <w:tr2bl w:val="nil"/>
            </w:tcBorders>
            <w:noWrap w:val="0"/>
            <w:vAlign w:val="center"/>
          </w:tcPr>
          <w:p w14:paraId="222ED3E2">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公司员工</w:t>
            </w:r>
          </w:p>
        </w:tc>
        <w:tc>
          <w:tcPr>
            <w:tcW w:w="1670" w:type="dxa"/>
            <w:tcBorders>
              <w:tl2br w:val="nil"/>
              <w:tr2bl w:val="nil"/>
            </w:tcBorders>
            <w:noWrap w:val="0"/>
            <w:vAlign w:val="center"/>
          </w:tcPr>
          <w:p w14:paraId="59E742BE">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150台左右</w:t>
            </w:r>
          </w:p>
          <w:p w14:paraId="1833AFD7">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（截止至2025年底）</w:t>
            </w:r>
          </w:p>
        </w:tc>
        <w:tc>
          <w:tcPr>
            <w:tcW w:w="858" w:type="dxa"/>
            <w:tcBorders>
              <w:tl2br w:val="nil"/>
              <w:tr2bl w:val="nil"/>
            </w:tcBorders>
            <w:noWrap w:val="0"/>
            <w:vAlign w:val="center"/>
          </w:tcPr>
          <w:p w14:paraId="5F92A26B">
            <w:pPr>
              <w:pStyle w:val="30"/>
              <w:keepNext w:val="0"/>
              <w:keepLines w:val="0"/>
              <w:pageBreakBefore w:val="0"/>
              <w:widowControl w:val="0"/>
              <w:kinsoku/>
              <w:overflowPunct/>
              <w:topLinePunct w:val="0"/>
              <w:bidi w:val="0"/>
              <w:snapToGrid/>
              <w:spacing w:line="280" w:lineRule="exact"/>
              <w:ind w:firstLine="42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p>
        </w:tc>
      </w:tr>
      <w:tr w14:paraId="21E37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824" w:type="dxa"/>
            <w:gridSpan w:val="7"/>
            <w:tcBorders>
              <w:tl2br w:val="nil"/>
              <w:tr2bl w:val="nil"/>
            </w:tcBorders>
            <w:noWrap w:val="0"/>
            <w:vAlign w:val="center"/>
          </w:tcPr>
          <w:p w14:paraId="70B6903D">
            <w:pPr>
              <w:keepNext w:val="0"/>
              <w:keepLines w:val="0"/>
              <w:pageBreakBefore w:val="0"/>
              <w:widowControl w:val="0"/>
              <w:numPr>
                <w:ilvl w:val="0"/>
                <w:numId w:val="0"/>
              </w:numPr>
              <w:kinsoku/>
              <w:wordWrap/>
              <w:overflowPunct/>
              <w:topLinePunct w:val="0"/>
              <w:bidi w:val="0"/>
              <w:snapToGrid/>
              <w:spacing w:line="280" w:lineRule="exact"/>
              <w:jc w:val="left"/>
              <w:textAlignment w:val="auto"/>
              <w:rPr>
                <w:rFonts w:hint="eastAsia" w:asciiTheme="minorEastAsia" w:hAnsiTheme="minorEastAsia" w:eastAsiaTheme="minorEastAsia" w:cstheme="minorEastAsia"/>
                <w:smallCaps w:val="0"/>
                <w:sz w:val="24"/>
                <w:szCs w:val="24"/>
                <w:highlight w:val="none"/>
                <w:lang w:val="en-US" w:eastAsia="zh-CN"/>
              </w:rPr>
            </w:pPr>
            <w:r>
              <w:rPr>
                <w:rFonts w:hint="eastAsia" w:asciiTheme="minorEastAsia" w:hAnsiTheme="minorEastAsia" w:eastAsiaTheme="minorEastAsia" w:cstheme="minorEastAsia"/>
                <w:smallCaps w:val="0"/>
                <w:sz w:val="24"/>
                <w:szCs w:val="24"/>
                <w:highlight w:val="none"/>
                <w:lang w:val="en-US" w:eastAsia="zh-CN"/>
              </w:rPr>
              <w:t xml:space="preserve">注：1.具体实际租赁设备数量以实际在职在岗人数为准，可能略有波动。 </w:t>
            </w:r>
          </w:p>
          <w:p w14:paraId="53FE94C4">
            <w:pPr>
              <w:pStyle w:val="30"/>
              <w:keepNext w:val="0"/>
              <w:keepLines w:val="0"/>
              <w:pageBreakBefore w:val="0"/>
              <w:widowControl w:val="0"/>
              <w:kinsoku/>
              <w:wordWrap/>
              <w:overflowPunct/>
              <w:topLinePunct w:val="0"/>
              <w:bidi w:val="0"/>
              <w:snapToGrid/>
              <w:spacing w:line="280" w:lineRule="exact"/>
              <w:ind w:firstLine="420" w:firstLineChars="0"/>
              <w:jc w:val="left"/>
              <w:textAlignment w:val="auto"/>
              <w:rPr>
                <w:rFonts w:hint="eastAsia" w:asciiTheme="minorEastAsia" w:hAnsiTheme="minorEastAsia" w:eastAsiaTheme="minorEastAsia" w:cstheme="minorEastAsia"/>
                <w:smallCaps w:val="0"/>
                <w:sz w:val="24"/>
                <w:szCs w:val="24"/>
                <w:highlight w:val="none"/>
                <w:lang w:val="en-US" w:eastAsia="zh-CN"/>
              </w:rPr>
            </w:pPr>
            <w:r>
              <w:rPr>
                <w:rFonts w:hint="eastAsia" w:asciiTheme="minorEastAsia" w:hAnsiTheme="minorEastAsia" w:eastAsiaTheme="minorEastAsia" w:cstheme="minorEastAsia"/>
                <w:smallCaps w:val="0"/>
                <w:sz w:val="24"/>
                <w:szCs w:val="24"/>
                <w:highlight w:val="none"/>
                <w:lang w:val="en-US" w:eastAsia="zh-CN"/>
              </w:rPr>
              <w:t xml:space="preserve">2.具体项目要求详见招标文件。   </w:t>
            </w:r>
          </w:p>
        </w:tc>
      </w:tr>
    </w:tbl>
    <w:p w14:paraId="684670E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投标人资质要求</w:t>
      </w:r>
    </w:p>
    <w:p w14:paraId="52E71F99">
      <w:pPr>
        <w:keepNext w:val="0"/>
        <w:keepLines w:val="0"/>
        <w:pageBreakBefore w:val="0"/>
        <w:widowControl/>
        <w:numPr>
          <w:ilvl w:val="0"/>
          <w:numId w:val="2"/>
        </w:numPr>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投标人为国内注册（指按国家有关规定要求注册的），经营本次采购内容，具备独立法人资格的供应商；</w:t>
      </w:r>
    </w:p>
    <w:p w14:paraId="6CAC317F">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（二）投标人具有完全响应本项目采购需求的能力；</w:t>
      </w:r>
    </w:p>
    <w:p w14:paraId="109E91D2">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（三）投标人无在“信用中国”网站</w:t>
      </w:r>
      <w:r>
        <w:rPr>
          <w:rFonts w:hint="default" w:ascii="Times New Roman" w:hAnsi="Times New Roman" w:eastAsia="仿宋_GB2312" w:cs="Times New Roman"/>
          <w:bCs/>
          <w:smallCaps w:val="0"/>
          <w:sz w:val="32"/>
          <w:szCs w:val="32"/>
          <w:highlight w:val="none"/>
          <w:lang w:val="en-US" w:eastAsia="zh-CN"/>
        </w:rPr>
        <w:t>(www.creditchina.gov.cn)</w:t>
      </w:r>
      <w:r>
        <w:rPr>
          <w:rFonts w:hint="eastAsia" w:ascii="Times New Roman" w:hAnsi="Times New Roman" w:eastAsia="仿宋_GB2312" w:cs="仿宋_GB2312"/>
          <w:bCs/>
          <w:smallCaps w:val="0"/>
          <w:sz w:val="32"/>
          <w:szCs w:val="32"/>
          <w:highlight w:val="none"/>
          <w:lang w:val="en-US" w:eastAsia="zh-CN"/>
        </w:rPr>
        <w:t>、中国政府采购网</w:t>
      </w:r>
      <w:r>
        <w:rPr>
          <w:rFonts w:hint="eastAsia" w:ascii="Times New Roman" w:hAnsi="Times New Roman" w:eastAsia="仿宋_GB2312" w:cs="Times New Roman"/>
          <w:bCs/>
          <w:smallCaps w:val="0"/>
          <w:sz w:val="32"/>
          <w:szCs w:val="32"/>
          <w:highlight w:val="none"/>
          <w:lang w:val="en-US" w:eastAsia="zh-CN"/>
        </w:rPr>
        <w:t>(www.ccgp.gov.cn)</w:t>
      </w:r>
      <w:r>
        <w:rPr>
          <w:rFonts w:hint="eastAsia" w:ascii="Times New Roman" w:hAnsi="Times New Roman" w:eastAsia="仿宋_GB2312" w:cs="仿宋_GB2312"/>
          <w:bCs/>
          <w:smallCaps w:val="0"/>
          <w:sz w:val="32"/>
          <w:szCs w:val="32"/>
          <w:highlight w:val="none"/>
          <w:lang w:val="en-US" w:eastAsia="zh-CN"/>
        </w:rPr>
        <w:t>、</w:t>
      </w:r>
      <w:r>
        <w:rPr>
          <w:rFonts w:hint="eastAsia" w:ascii="Times New Roman" w:hAnsi="Times New Roman" w:eastAsia="仿宋_GB2312" w:cs="仿宋_GB2312"/>
          <w:bCs/>
          <w:smallCaps w:val="0"/>
          <w:sz w:val="32"/>
          <w:szCs w:val="32"/>
          <w:highlight w:val="none"/>
          <w:lang w:val="en-US" w:eastAsia="zh-CN"/>
        </w:rPr>
        <w:fldChar w:fldCharType="begin"/>
      </w:r>
      <w:r>
        <w:rPr>
          <w:rFonts w:hint="eastAsia" w:ascii="Times New Roman" w:hAnsi="Times New Roman" w:eastAsia="仿宋_GB2312" w:cs="仿宋_GB2312"/>
          <w:bCs/>
          <w:smallCaps w:val="0"/>
          <w:sz w:val="32"/>
          <w:szCs w:val="32"/>
          <w:highlight w:val="none"/>
          <w:lang w:val="en-US" w:eastAsia="zh-CN"/>
        </w:rPr>
        <w:instrText xml:space="preserve"> HYPERLINK "https://wenshu.court.gov.cn/" </w:instrText>
      </w:r>
      <w:r>
        <w:rPr>
          <w:rFonts w:hint="eastAsia" w:ascii="Times New Roman" w:hAnsi="Times New Roman" w:eastAsia="仿宋_GB2312" w:cs="仿宋_GB2312"/>
          <w:bCs/>
          <w:smallCaps w:val="0"/>
          <w:sz w:val="32"/>
          <w:szCs w:val="32"/>
          <w:highlight w:val="none"/>
          <w:lang w:val="en-US" w:eastAsia="zh-CN"/>
        </w:rPr>
        <w:fldChar w:fldCharType="separate"/>
      </w:r>
      <w:r>
        <w:rPr>
          <w:rFonts w:hint="eastAsia" w:ascii="Times New Roman" w:hAnsi="Times New Roman" w:eastAsia="仿宋_GB2312" w:cs="仿宋_GB2312"/>
          <w:bCs/>
          <w:smallCaps w:val="0"/>
          <w:sz w:val="32"/>
          <w:szCs w:val="32"/>
          <w:highlight w:val="none"/>
          <w:lang w:val="en-US" w:eastAsia="zh-CN"/>
        </w:rPr>
        <w:t>中国裁判文书网</w:t>
      </w:r>
      <w:r>
        <w:rPr>
          <w:rFonts w:hint="eastAsia" w:ascii="Times New Roman" w:hAnsi="Times New Roman" w:eastAsia="仿宋_GB2312" w:cs="Times New Roman"/>
          <w:bCs/>
          <w:smallCaps w:val="0"/>
          <w:sz w:val="32"/>
          <w:szCs w:val="32"/>
          <w:highlight w:val="none"/>
          <w:lang w:val="en-US" w:eastAsia="zh-CN"/>
        </w:rPr>
        <w:t>（wenshu.court.gov.cn)</w:t>
      </w:r>
      <w:r>
        <w:rPr>
          <w:rFonts w:hint="eastAsia" w:ascii="Times New Roman" w:hAnsi="Times New Roman" w:eastAsia="仿宋_GB2312" w:cs="仿宋_GB2312"/>
          <w:bCs/>
          <w:smallCaps w:val="0"/>
          <w:sz w:val="32"/>
          <w:szCs w:val="32"/>
          <w:highlight w:val="none"/>
          <w:lang w:val="en-US" w:eastAsia="zh-CN"/>
        </w:rPr>
        <w:fldChar w:fldCharType="end"/>
      </w:r>
      <w:r>
        <w:rPr>
          <w:rFonts w:hint="eastAsia" w:ascii="Times New Roman" w:hAnsi="Times New Roman" w:eastAsia="仿宋_GB2312" w:cs="仿宋_GB2312"/>
          <w:bCs/>
          <w:smallCaps w:val="0"/>
          <w:sz w:val="32"/>
          <w:szCs w:val="32"/>
          <w:highlight w:val="none"/>
          <w:lang w:val="en-US" w:eastAsia="zh-CN"/>
        </w:rPr>
        <w:t>等渠道列入失信被执行人、重大税收违法案件当事人名单、政府采购严重违法失信行为记录名单、网络行贿行为记录的情况；</w:t>
      </w:r>
    </w:p>
    <w:p w14:paraId="6D94F9E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（四）投标人如为与招标人既往合作的供应商，需满足招标人关于供应商的管理规定，且2021年1月1日至本项目确定成交人之日前投标人无重大事故、服务投诉或质量不符合记录；</w:t>
      </w:r>
    </w:p>
    <w:p w14:paraId="29E7099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（五）投标人应具备良好的商业信誉和健全的财务会计制度，具有依法缴纳税收和社会保障资金的良好记录；</w:t>
      </w:r>
    </w:p>
    <w:p w14:paraId="136BDB74">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（六）投标人能够开具符合国家法律法规规定、符合国有企业财务管理及审计合规要求的增值税发票，如所提供的产品或服务税率不同，须按照相应税率分别开具发票；</w:t>
      </w:r>
    </w:p>
    <w:p w14:paraId="60C4D00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0E45D91F">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具体内容</w:t>
      </w:r>
    </w:p>
    <w:p w14:paraId="6089DD8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见《深圳市鹏劳人力资源管理有限公司2025-2026年度电脑设备租赁服务采购项目招标文件》（附件2）</w:t>
      </w:r>
    </w:p>
    <w:p w14:paraId="3998DF7D">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有意参与参与投标的供方请于2024年11月6日17时前向招标人列示联系邮箱</w:t>
      </w:r>
      <w:r>
        <w:rPr>
          <w:rFonts w:hint="default" w:ascii="Times New Roman" w:hAnsi="Times New Roman" w:cs="Times New Roman" w:eastAsiaTheme="minorEastAsia"/>
          <w:bCs/>
          <w:smallCaps w:val="0"/>
          <w:sz w:val="32"/>
          <w:szCs w:val="32"/>
          <w:highlight w:val="none"/>
          <w:lang w:val="en-US" w:eastAsia="zh-CN"/>
        </w:rPr>
        <w:t>（huangxj@</w:t>
      </w:r>
      <w:r>
        <w:rPr>
          <w:rFonts w:hint="default" w:ascii="Times New Roman" w:hAnsi="Times New Roman" w:cs="Times New Roman" w:eastAsiaTheme="minorEastAsia"/>
          <w:b w:val="0"/>
          <w:bCs/>
          <w:smallCaps w:val="0"/>
          <w:color w:val="auto"/>
          <w:sz w:val="32"/>
          <w:szCs w:val="32"/>
          <w:highlight w:val="none"/>
          <w:u w:val="none"/>
          <w:lang w:val="en-US" w:eastAsia="zh-CN"/>
        </w:rPr>
        <w:t>plhr.cn</w:t>
      </w:r>
      <w:r>
        <w:rPr>
          <w:rFonts w:hint="default" w:ascii="Times New Roman" w:hAnsi="Times New Roman" w:cs="Times New Roman" w:eastAsiaTheme="minorEastAsia"/>
          <w:bCs/>
          <w:smallCaps w:val="0"/>
          <w:sz w:val="32"/>
          <w:szCs w:val="32"/>
          <w:highlight w:val="none"/>
          <w:lang w:val="en-US" w:eastAsia="zh-CN"/>
        </w:rPr>
        <w:t>）</w:t>
      </w:r>
      <w:r>
        <w:rPr>
          <w:rFonts w:hint="eastAsia" w:ascii="Times New Roman" w:hAnsi="Times New Roman" w:eastAsia="仿宋_GB2312" w:cs="仿宋_GB2312"/>
          <w:bCs/>
          <w:smallCaps w:val="0"/>
          <w:sz w:val="32"/>
          <w:szCs w:val="32"/>
          <w:highlight w:val="none"/>
          <w:lang w:val="en-US" w:eastAsia="zh-CN"/>
        </w:rPr>
        <w:t>提供资质文件扫描件，填报公告附件1《报名表》，加盖公章并随附资格文件电子版。（本文件所有报名资，料格式：扫描件，PDF格式加盖公章）</w:t>
      </w:r>
    </w:p>
    <w:p w14:paraId="3C8FD4F3">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答疑、澄清与补正</w:t>
      </w:r>
    </w:p>
    <w:p w14:paraId="385F8D4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拟参与本项目的投标人在获得招标文件后，应及时阅知招标文件，于2024年11月4日17时前就需要招标人答疑、澄清或确认的事项提出答疑澄清请求发送至招标人联系邮箱，逾期不予受理。</w:t>
      </w:r>
    </w:p>
    <w:p w14:paraId="3A2EB0C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招标人将在收到答疑澄清后，统一于2024年11月5日17时以电子邮件形式根据各投标人提出的答疑澄清请求及招标人认为应当补遗说明的情况进行统一答复说明，答复说明按规不披露疑问来源。</w:t>
      </w:r>
    </w:p>
    <w:p w14:paraId="630FFB0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本项目不接受任何电话、现场或口头答疑澄清，不设置现场踏勘，任何非本文件规定的沟通途径与方式获取的信息不构成招标人对本项目的解释与义务。</w:t>
      </w:r>
    </w:p>
    <w:p w14:paraId="19D58FD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投标截止时间</w:t>
      </w:r>
    </w:p>
    <w:p w14:paraId="69A3BC2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202</w:t>
      </w:r>
      <w:r>
        <w:rPr>
          <w:rFonts w:hint="eastAsia" w:ascii="Times New Roman" w:hAnsi="Times New Roman" w:eastAsia="仿宋_GB2312" w:cs="仿宋_GB2312"/>
          <w:bCs/>
          <w:smallCaps w:val="0"/>
          <w:sz w:val="32"/>
          <w:szCs w:val="32"/>
          <w:highlight w:val="none"/>
          <w:lang w:val="en-US" w:eastAsia="zh-CN"/>
        </w:rPr>
        <w:t>4</w:t>
      </w:r>
      <w:r>
        <w:rPr>
          <w:rFonts w:hint="eastAsia" w:ascii="Times New Roman" w:hAnsi="Times New Roman" w:eastAsia="仿宋_GB2312" w:cs="仿宋_GB2312"/>
          <w:bCs/>
          <w:smallCaps w:val="0"/>
          <w:sz w:val="32"/>
          <w:szCs w:val="32"/>
          <w:highlight w:val="none"/>
        </w:rPr>
        <w:t>年</w:t>
      </w:r>
      <w:r>
        <w:rPr>
          <w:rFonts w:hint="eastAsia" w:ascii="Times New Roman" w:hAnsi="Times New Roman" w:eastAsia="仿宋_GB2312" w:cs="仿宋_GB2312"/>
          <w:bCs/>
          <w:smallCaps w:val="0"/>
          <w:sz w:val="32"/>
          <w:szCs w:val="32"/>
          <w:highlight w:val="none"/>
          <w:lang w:val="en-US" w:eastAsia="zh-CN"/>
        </w:rPr>
        <w:t>11</w:t>
      </w:r>
      <w:r>
        <w:rPr>
          <w:rFonts w:hint="eastAsia" w:ascii="Times New Roman" w:hAnsi="Times New Roman" w:eastAsia="仿宋_GB2312" w:cs="仿宋_GB2312"/>
          <w:bCs/>
          <w:smallCaps w:val="0"/>
          <w:sz w:val="32"/>
          <w:szCs w:val="32"/>
          <w:highlight w:val="none"/>
        </w:rPr>
        <w:t>月</w:t>
      </w:r>
      <w:r>
        <w:rPr>
          <w:rFonts w:hint="eastAsia" w:ascii="Times New Roman" w:hAnsi="Times New Roman" w:eastAsia="仿宋_GB2312" w:cs="仿宋_GB2312"/>
          <w:bCs/>
          <w:smallCaps w:val="0"/>
          <w:sz w:val="32"/>
          <w:szCs w:val="32"/>
          <w:highlight w:val="none"/>
          <w:lang w:val="en-US" w:eastAsia="zh-CN"/>
        </w:rPr>
        <w:t>20</w:t>
      </w:r>
      <w:r>
        <w:rPr>
          <w:rFonts w:hint="eastAsia" w:ascii="Times New Roman" w:hAnsi="Times New Roman" w:eastAsia="仿宋_GB2312" w:cs="仿宋_GB2312"/>
          <w:bCs/>
          <w:smallCaps w:val="0"/>
          <w:sz w:val="32"/>
          <w:szCs w:val="32"/>
          <w:highlight w:val="none"/>
        </w:rPr>
        <w:t>日</w:t>
      </w:r>
      <w:r>
        <w:rPr>
          <w:rFonts w:hint="eastAsia" w:ascii="Times New Roman" w:hAnsi="Times New Roman" w:eastAsia="仿宋_GB2312" w:cs="仿宋_GB2312"/>
          <w:bCs/>
          <w:smallCaps w:val="0"/>
          <w:sz w:val="32"/>
          <w:szCs w:val="32"/>
          <w:highlight w:val="none"/>
          <w:lang w:val="en-US" w:eastAsia="zh-CN"/>
        </w:rPr>
        <w:t>9时</w:t>
      </w:r>
    </w:p>
    <w:p w14:paraId="3182AD8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开标时间</w:t>
      </w:r>
    </w:p>
    <w:p w14:paraId="301DFF4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202</w:t>
      </w:r>
      <w:r>
        <w:rPr>
          <w:rFonts w:hint="eastAsia" w:ascii="Times New Roman" w:hAnsi="Times New Roman" w:eastAsia="仿宋_GB2312" w:cs="仿宋_GB2312"/>
          <w:bCs/>
          <w:smallCaps w:val="0"/>
          <w:sz w:val="32"/>
          <w:szCs w:val="32"/>
          <w:highlight w:val="none"/>
          <w:lang w:val="en-US" w:eastAsia="zh-CN"/>
        </w:rPr>
        <w:t>4</w:t>
      </w:r>
      <w:r>
        <w:rPr>
          <w:rFonts w:hint="eastAsia" w:ascii="Times New Roman" w:hAnsi="Times New Roman" w:eastAsia="仿宋_GB2312" w:cs="仿宋_GB2312"/>
          <w:bCs/>
          <w:smallCaps w:val="0"/>
          <w:sz w:val="32"/>
          <w:szCs w:val="32"/>
          <w:highlight w:val="none"/>
        </w:rPr>
        <w:t>年</w:t>
      </w:r>
      <w:r>
        <w:rPr>
          <w:rFonts w:hint="eastAsia" w:ascii="Times New Roman" w:hAnsi="Times New Roman" w:eastAsia="仿宋_GB2312" w:cs="仿宋_GB2312"/>
          <w:bCs/>
          <w:smallCaps w:val="0"/>
          <w:sz w:val="32"/>
          <w:szCs w:val="32"/>
          <w:highlight w:val="none"/>
          <w:lang w:val="en-US" w:eastAsia="zh-CN"/>
        </w:rPr>
        <w:t>11</w:t>
      </w:r>
      <w:r>
        <w:rPr>
          <w:rFonts w:hint="eastAsia" w:ascii="Times New Roman" w:hAnsi="Times New Roman" w:eastAsia="仿宋_GB2312" w:cs="仿宋_GB2312"/>
          <w:bCs/>
          <w:smallCaps w:val="0"/>
          <w:sz w:val="32"/>
          <w:szCs w:val="32"/>
          <w:highlight w:val="none"/>
        </w:rPr>
        <w:t>月</w:t>
      </w:r>
      <w:r>
        <w:rPr>
          <w:rFonts w:hint="eastAsia" w:ascii="Times New Roman" w:hAnsi="Times New Roman" w:eastAsia="仿宋_GB2312" w:cs="仿宋_GB2312"/>
          <w:bCs/>
          <w:smallCaps w:val="0"/>
          <w:sz w:val="32"/>
          <w:szCs w:val="32"/>
          <w:highlight w:val="none"/>
          <w:lang w:val="en-US" w:eastAsia="zh-CN"/>
        </w:rPr>
        <w:t>20</w:t>
      </w:r>
      <w:r>
        <w:rPr>
          <w:rFonts w:hint="eastAsia" w:ascii="Times New Roman" w:hAnsi="Times New Roman" w:eastAsia="仿宋_GB2312" w:cs="仿宋_GB2312"/>
          <w:bCs/>
          <w:smallCaps w:val="0"/>
          <w:sz w:val="32"/>
          <w:szCs w:val="32"/>
          <w:highlight w:val="none"/>
        </w:rPr>
        <w:t>日</w:t>
      </w:r>
      <w:r>
        <w:rPr>
          <w:rFonts w:hint="eastAsia" w:ascii="Times New Roman" w:hAnsi="Times New Roman" w:eastAsia="仿宋_GB2312" w:cs="仿宋_GB2312"/>
          <w:bCs/>
          <w:smallCaps w:val="0"/>
          <w:sz w:val="32"/>
          <w:szCs w:val="32"/>
          <w:highlight w:val="none"/>
          <w:lang w:val="en-US" w:eastAsia="zh-CN"/>
        </w:rPr>
        <w:t>9时30分</w:t>
      </w:r>
    </w:p>
    <w:p w14:paraId="7A24D11C">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投标文件递交及开标地点</w:t>
      </w:r>
    </w:p>
    <w:p w14:paraId="618FD34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深圳市罗湖区笋岗街道田心社区红岭北路2088号招商开元中心A座13层</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中国人保金融大厦</w:t>
      </w:r>
      <w:r>
        <w:rPr>
          <w:rFonts w:hint="eastAsia" w:ascii="Times New Roman" w:hAnsi="Times New Roman" w:eastAsia="仿宋_GB2312" w:cs="仿宋_GB2312"/>
          <w:bCs/>
          <w:smallCaps w:val="0"/>
          <w:sz w:val="32"/>
          <w:szCs w:val="32"/>
          <w:highlight w:val="none"/>
          <w:lang w:val="en-US" w:eastAsia="zh-CN"/>
        </w:rPr>
        <w:t>A座</w:t>
      </w:r>
      <w:r>
        <w:rPr>
          <w:rFonts w:hint="eastAsia" w:ascii="Times New Roman" w:hAnsi="Times New Roman" w:eastAsia="仿宋_GB2312" w:cs="仿宋_GB2312"/>
          <w:bCs/>
          <w:smallCaps w:val="0"/>
          <w:sz w:val="32"/>
          <w:szCs w:val="32"/>
          <w:highlight w:val="none"/>
        </w:rPr>
        <w:t>13</w:t>
      </w:r>
      <w:r>
        <w:rPr>
          <w:rFonts w:hint="eastAsia" w:ascii="Times New Roman" w:hAnsi="Times New Roman" w:eastAsia="仿宋_GB2312" w:cs="仿宋_GB2312"/>
          <w:bCs/>
          <w:smallCaps w:val="0"/>
          <w:sz w:val="32"/>
          <w:szCs w:val="32"/>
          <w:highlight w:val="none"/>
          <w:lang w:val="en-US" w:eastAsia="zh-CN"/>
        </w:rPr>
        <w:t>层）深圳市鹏劳人力资源管理有限公司</w:t>
      </w:r>
    </w:p>
    <w:p w14:paraId="07C6EC50">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联系方式</w:t>
      </w:r>
    </w:p>
    <w:p w14:paraId="19299EE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联系人：黄工</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仅限本项目联系）</w:t>
      </w:r>
      <w:r>
        <w:rPr>
          <w:rFonts w:hint="eastAsia" w:ascii="Times New Roman" w:hAnsi="Times New Roman" w:eastAsia="仿宋_GB2312" w:cs="仿宋_GB2312"/>
          <w:bCs/>
          <w:smallCaps w:val="0"/>
          <w:sz w:val="32"/>
          <w:szCs w:val="32"/>
          <w:highlight w:val="none"/>
        </w:rPr>
        <w:t xml:space="preserve"> </w:t>
      </w:r>
    </w:p>
    <w:p w14:paraId="33E8857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联系电话：</w:t>
      </w:r>
      <w:r>
        <w:rPr>
          <w:rFonts w:hint="eastAsia" w:ascii="Times New Roman" w:hAnsi="Times New Roman" w:eastAsia="仿宋_GB2312" w:cs="仿宋_GB2312"/>
          <w:bCs/>
          <w:smallCaps w:val="0"/>
          <w:sz w:val="32"/>
          <w:szCs w:val="32"/>
          <w:highlight w:val="none"/>
          <w:lang w:val="en-US" w:eastAsia="zh-CN"/>
        </w:rPr>
        <w:t>0755-25023046</w:t>
      </w:r>
    </w:p>
    <w:p w14:paraId="74DE265F">
      <w:pPr>
        <w:keepNext w:val="0"/>
        <w:keepLines w:val="0"/>
        <w:pageBreakBefore w:val="0"/>
        <w:widowControl w:val="0"/>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 w:val="0"/>
          <w:bCs/>
          <w:smallCaps w:val="0"/>
          <w:color w:val="auto"/>
          <w:sz w:val="32"/>
          <w:szCs w:val="32"/>
          <w:highlight w:val="none"/>
          <w:u w:val="none"/>
          <w:lang w:val="en-US" w:eastAsia="zh-CN"/>
        </w:rPr>
      </w:pPr>
      <w:r>
        <w:rPr>
          <w:rFonts w:hint="eastAsia" w:ascii="Times New Roman" w:hAnsi="Times New Roman" w:eastAsia="仿宋_GB2312" w:cs="仿宋_GB2312"/>
          <w:bCs/>
          <w:smallCaps w:val="0"/>
          <w:sz w:val="32"/>
          <w:szCs w:val="32"/>
          <w:highlight w:val="none"/>
          <w:lang w:val="en-US" w:eastAsia="zh-CN"/>
        </w:rPr>
        <w:t>电子邮箱：</w:t>
      </w:r>
      <w:r>
        <w:rPr>
          <w:rFonts w:hint="default" w:ascii="Times New Roman" w:hAnsi="Times New Roman" w:eastAsia="仿宋" w:cs="Times New Roman"/>
          <w:bCs/>
          <w:smallCaps w:val="0"/>
          <w:sz w:val="32"/>
          <w:szCs w:val="32"/>
          <w:highlight w:val="none"/>
          <w:lang w:val="en-US" w:eastAsia="zh-CN"/>
        </w:rPr>
        <w:fldChar w:fldCharType="begin"/>
      </w:r>
      <w:r>
        <w:rPr>
          <w:rFonts w:hint="default" w:ascii="Times New Roman" w:hAnsi="Times New Roman" w:eastAsia="仿宋" w:cs="Times New Roman"/>
          <w:bCs/>
          <w:smallCaps w:val="0"/>
          <w:sz w:val="32"/>
          <w:szCs w:val="32"/>
          <w:highlight w:val="none"/>
          <w:lang w:val="en-US" w:eastAsia="zh-CN"/>
        </w:rPr>
        <w:instrText xml:space="preserve"> HYPERLINK "mailto:huangxj@plhr.cn" </w:instrText>
      </w:r>
      <w:r>
        <w:rPr>
          <w:rFonts w:hint="default" w:ascii="Times New Roman" w:hAnsi="Times New Roman" w:eastAsia="仿宋" w:cs="Times New Roman"/>
          <w:bCs/>
          <w:smallCaps w:val="0"/>
          <w:sz w:val="32"/>
          <w:szCs w:val="32"/>
          <w:highlight w:val="none"/>
          <w:lang w:val="en-US" w:eastAsia="zh-CN"/>
        </w:rPr>
        <w:fldChar w:fldCharType="separate"/>
      </w:r>
      <w:r>
        <w:rPr>
          <w:rFonts w:hint="default" w:ascii="Times New Roman" w:hAnsi="Times New Roman" w:eastAsia="仿宋" w:cs="Times New Roman"/>
          <w:bCs/>
          <w:smallCaps w:val="0"/>
          <w:sz w:val="32"/>
          <w:szCs w:val="32"/>
          <w:highlight w:val="none"/>
          <w:lang w:val="en-US" w:eastAsia="zh-CN"/>
        </w:rPr>
        <w:t>huangxj@plhr.cn</w:t>
      </w:r>
      <w:r>
        <w:rPr>
          <w:rFonts w:hint="default" w:ascii="Times New Roman" w:hAnsi="Times New Roman" w:eastAsia="仿宋" w:cs="Times New Roman"/>
          <w:bCs/>
          <w:smallCaps w:val="0"/>
          <w:sz w:val="32"/>
          <w:szCs w:val="32"/>
          <w:highlight w:val="none"/>
          <w:lang w:val="en-US" w:eastAsia="zh-CN"/>
        </w:rPr>
        <w:fldChar w:fldCharType="end"/>
      </w:r>
    </w:p>
    <w:p w14:paraId="105C2E39">
      <w:pPr>
        <w:keepNext w:val="0"/>
        <w:keepLines w:val="0"/>
        <w:pageBreakBefore w:val="0"/>
        <w:widowControl w:val="0"/>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 w:val="0"/>
          <w:bCs/>
          <w:smallCaps w:val="0"/>
          <w:color w:val="auto"/>
          <w:sz w:val="32"/>
          <w:szCs w:val="32"/>
          <w:highlight w:val="none"/>
          <w:u w:val="none"/>
          <w:lang w:val="en-US" w:eastAsia="zh-CN"/>
        </w:rPr>
      </w:pPr>
    </w:p>
    <w:p w14:paraId="7A0BDBB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 xml:space="preserve">                 深圳市鹏劳人力资源管理有限公司</w:t>
      </w:r>
    </w:p>
    <w:p w14:paraId="352F9D2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b/>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 xml:space="preserve">                          2024年10月30日   </w:t>
      </w:r>
    </w:p>
    <w:p w14:paraId="39120538">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p>
    <w:p w14:paraId="225F6DE4">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p>
    <w:p w14:paraId="2509E917">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p>
    <w:p w14:paraId="6EBC64A9">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r>
        <w:rPr>
          <w:rFonts w:hint="eastAsia" w:ascii="Times New Roman" w:hAnsi="Times New Roman" w:eastAsia="仿宋" w:cs="仿宋"/>
          <w:smallCaps w:val="0"/>
          <w:highlight w:val="none"/>
          <w:lang w:eastAsia="zh-CN"/>
        </w:rPr>
        <w:t>附件</w:t>
      </w:r>
      <w:r>
        <w:rPr>
          <w:rFonts w:hint="eastAsia" w:ascii="Times New Roman" w:hAnsi="Times New Roman" w:eastAsia="仿宋" w:cs="仿宋"/>
          <w:smallCaps w:val="0"/>
          <w:highlight w:val="none"/>
          <w:lang w:val="en-US" w:eastAsia="zh-CN"/>
        </w:rPr>
        <w:t>1</w:t>
      </w:r>
      <w:r>
        <w:rPr>
          <w:rFonts w:hint="eastAsia" w:ascii="Times New Roman" w:hAnsi="Times New Roman" w:eastAsia="仿宋" w:cs="仿宋"/>
          <w:smallCaps w:val="0"/>
          <w:highlight w:val="none"/>
          <w:lang w:eastAsia="zh-CN"/>
        </w:rPr>
        <w:t>：</w:t>
      </w:r>
    </w:p>
    <w:p w14:paraId="7B1DFA98">
      <w:pPr>
        <w:pStyle w:val="3"/>
        <w:keepNext/>
        <w:keepLines/>
        <w:pageBreakBefore w:val="0"/>
        <w:widowControl/>
        <w:numPr>
          <w:ilvl w:val="1"/>
          <w:numId w:val="0"/>
        </w:numPr>
        <w:kinsoku/>
        <w:wordWrap/>
        <w:overflowPunct/>
        <w:topLinePunct w:val="0"/>
        <w:autoSpaceDE/>
        <w:autoSpaceDN/>
        <w:bidi w:val="0"/>
        <w:adjustRightInd w:val="0"/>
        <w:snapToGrid w:val="0"/>
        <w:spacing w:before="0" w:after="0" w:line="560" w:lineRule="exact"/>
        <w:jc w:val="center"/>
        <w:textAlignment w:val="auto"/>
        <w:rPr>
          <w:rFonts w:hint="eastAsia" w:ascii="Times New Roman" w:hAnsi="Times New Roman" w:eastAsia="方正小标宋简体" w:cs="方正小标宋简体"/>
          <w:b w:val="0"/>
          <w:bCs/>
          <w:smallCaps w:val="0"/>
          <w:sz w:val="36"/>
          <w:szCs w:val="36"/>
          <w:highlight w:val="none"/>
        </w:rPr>
      </w:pPr>
      <w:bookmarkStart w:id="12" w:name="_Toc140285777"/>
      <w:bookmarkStart w:id="13" w:name="_Toc22996"/>
      <w:r>
        <w:rPr>
          <w:rFonts w:hint="eastAsia" w:ascii="Times New Roman" w:hAnsi="Times New Roman" w:eastAsia="方正小标宋简体" w:cs="方正小标宋简体"/>
          <w:b w:val="0"/>
          <w:bCs/>
          <w:smallCaps w:val="0"/>
          <w:sz w:val="36"/>
          <w:szCs w:val="36"/>
          <w:highlight w:val="none"/>
          <w:lang w:val="en-US" w:eastAsia="zh-CN"/>
        </w:rPr>
        <w:t>深圳市鹏劳人力资源管理有限公司采购招标</w:t>
      </w:r>
      <w:r>
        <w:rPr>
          <w:rFonts w:hint="eastAsia" w:ascii="Times New Roman" w:hAnsi="Times New Roman" w:eastAsia="方正小标宋简体" w:cs="方正小标宋简体"/>
          <w:b w:val="0"/>
          <w:bCs/>
          <w:smallCaps w:val="0"/>
          <w:sz w:val="36"/>
          <w:szCs w:val="36"/>
          <w:highlight w:val="none"/>
        </w:rPr>
        <w:t>报名表</w:t>
      </w:r>
      <w:bookmarkEnd w:id="12"/>
      <w:bookmarkEnd w:id="13"/>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949"/>
        <w:gridCol w:w="1620"/>
        <w:gridCol w:w="900"/>
        <w:gridCol w:w="720"/>
        <w:gridCol w:w="1980"/>
      </w:tblGrid>
      <w:tr w14:paraId="6B43D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tcBorders>
              <w:tl2br w:val="nil"/>
              <w:tr2bl w:val="nil"/>
            </w:tcBorders>
            <w:noWrap w:val="0"/>
            <w:vAlign w:val="center"/>
          </w:tcPr>
          <w:p w14:paraId="1D2D2E8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项目名称</w:t>
            </w:r>
          </w:p>
        </w:tc>
        <w:tc>
          <w:tcPr>
            <w:tcW w:w="7169" w:type="dxa"/>
            <w:gridSpan w:val="5"/>
            <w:tcBorders>
              <w:tl2br w:val="nil"/>
              <w:tr2bl w:val="nil"/>
            </w:tcBorders>
            <w:noWrap w:val="0"/>
            <w:vAlign w:val="center"/>
          </w:tcPr>
          <w:p w14:paraId="4FB455DA">
            <w:pPr>
              <w:keepNext w:val="0"/>
              <w:keepLines w:val="0"/>
              <w:pageBreakBefore w:val="0"/>
              <w:widowControl w:val="0"/>
              <w:kinsoku/>
              <w:wordWrap w:val="0"/>
              <w:overflowPunct/>
              <w:topLinePunct/>
              <w:autoSpaceDE/>
              <w:autoSpaceDN/>
              <w:bidi w:val="0"/>
              <w:adjustRightInd/>
              <w:snapToGrid/>
              <w:spacing w:line="280" w:lineRule="exact"/>
              <w:ind w:firstLine="0" w:firstLineChars="0"/>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深圳市鹏劳人力资源管理有限公司</w:t>
            </w:r>
          </w:p>
          <w:p w14:paraId="1D87EEAB">
            <w:pPr>
              <w:keepNext w:val="0"/>
              <w:keepLines w:val="0"/>
              <w:pageBreakBefore w:val="0"/>
              <w:widowControl w:val="0"/>
              <w:kinsoku/>
              <w:wordWrap w:val="0"/>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cstheme="minorEastAsia"/>
                <w:b w:val="0"/>
                <w:bCs/>
                <w:smallCaps w:val="0"/>
                <w:sz w:val="22"/>
                <w:szCs w:val="22"/>
                <w:highlight w:val="none"/>
                <w:lang w:val="en-US" w:eastAsia="zh-CN"/>
              </w:rPr>
              <w:t>2025-2026年度</w:t>
            </w:r>
            <w:r>
              <w:rPr>
                <w:rFonts w:hint="eastAsia" w:ascii="Times New Roman" w:hAnsi="Times New Roman" w:eastAsiaTheme="minorEastAsia" w:cstheme="minorEastAsia"/>
                <w:b w:val="0"/>
                <w:bCs/>
                <w:smallCaps w:val="0"/>
                <w:sz w:val="22"/>
                <w:szCs w:val="22"/>
                <w:highlight w:val="none"/>
                <w:lang w:val="en-US" w:eastAsia="zh-CN"/>
              </w:rPr>
              <w:t>电脑设备租赁</w:t>
            </w:r>
            <w:r>
              <w:rPr>
                <w:rFonts w:hint="eastAsia" w:ascii="Times New Roman" w:hAnsi="Times New Roman" w:cstheme="minorEastAsia"/>
                <w:b w:val="0"/>
                <w:bCs/>
                <w:smallCaps w:val="0"/>
                <w:sz w:val="22"/>
                <w:szCs w:val="22"/>
                <w:highlight w:val="none"/>
                <w:lang w:val="en-US" w:eastAsia="zh-CN"/>
              </w:rPr>
              <w:t>服务</w:t>
            </w:r>
            <w:r>
              <w:rPr>
                <w:rFonts w:hint="eastAsia" w:ascii="Times New Roman" w:hAnsi="Times New Roman" w:eastAsiaTheme="minorEastAsia" w:cstheme="minorEastAsia"/>
                <w:b w:val="0"/>
                <w:bCs/>
                <w:smallCaps w:val="0"/>
                <w:sz w:val="22"/>
                <w:szCs w:val="22"/>
                <w:highlight w:val="none"/>
                <w:lang w:val="en-US" w:eastAsia="zh-CN"/>
              </w:rPr>
              <w:t>采购</w:t>
            </w:r>
            <w:r>
              <w:rPr>
                <w:rFonts w:hint="eastAsia" w:ascii="Times New Roman" w:hAnsi="Times New Roman" w:cstheme="minorEastAsia"/>
                <w:b w:val="0"/>
                <w:bCs/>
                <w:smallCaps w:val="0"/>
                <w:sz w:val="22"/>
                <w:szCs w:val="22"/>
                <w:highlight w:val="none"/>
                <w:lang w:val="en-US" w:eastAsia="zh-CN"/>
              </w:rPr>
              <w:t>项目</w:t>
            </w:r>
          </w:p>
        </w:tc>
      </w:tr>
      <w:tr w14:paraId="5460A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31" w:type="dxa"/>
            <w:tcBorders>
              <w:tl2br w:val="nil"/>
              <w:tr2bl w:val="nil"/>
            </w:tcBorders>
            <w:noWrap w:val="0"/>
            <w:vAlign w:val="center"/>
          </w:tcPr>
          <w:p w14:paraId="752C6C4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项目编号</w:t>
            </w:r>
          </w:p>
        </w:tc>
        <w:tc>
          <w:tcPr>
            <w:tcW w:w="3569" w:type="dxa"/>
            <w:gridSpan w:val="2"/>
            <w:tcBorders>
              <w:tl2br w:val="nil"/>
              <w:tr2bl w:val="nil"/>
            </w:tcBorders>
            <w:noWrap w:val="0"/>
            <w:vAlign w:val="center"/>
          </w:tcPr>
          <w:p w14:paraId="65AC178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PLHR-ZB-FW-202407</w:t>
            </w:r>
          </w:p>
        </w:tc>
        <w:tc>
          <w:tcPr>
            <w:tcW w:w="1620" w:type="dxa"/>
            <w:gridSpan w:val="2"/>
            <w:tcBorders>
              <w:tl2br w:val="nil"/>
              <w:tr2bl w:val="nil"/>
            </w:tcBorders>
            <w:noWrap w:val="0"/>
            <w:vAlign w:val="center"/>
          </w:tcPr>
          <w:p w14:paraId="1E1F6899">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所投包号</w:t>
            </w:r>
          </w:p>
        </w:tc>
        <w:tc>
          <w:tcPr>
            <w:tcW w:w="1980" w:type="dxa"/>
            <w:tcBorders>
              <w:tl2br w:val="nil"/>
              <w:tr2bl w:val="nil"/>
            </w:tcBorders>
            <w:noWrap w:val="0"/>
            <w:vAlign w:val="center"/>
          </w:tcPr>
          <w:p w14:paraId="5C61B87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w:t>
            </w:r>
          </w:p>
        </w:tc>
      </w:tr>
      <w:tr w14:paraId="78FFE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31" w:type="dxa"/>
            <w:tcBorders>
              <w:tl2br w:val="nil"/>
              <w:tr2bl w:val="nil"/>
            </w:tcBorders>
            <w:noWrap w:val="0"/>
            <w:vAlign w:val="center"/>
          </w:tcPr>
          <w:p w14:paraId="79828D4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lang w:val="en-US" w:eastAsia="zh-CN"/>
              </w:rPr>
              <w:t>投标人</w:t>
            </w:r>
            <w:r>
              <w:rPr>
                <w:rFonts w:hint="eastAsia" w:ascii="Times New Roman" w:hAnsi="Times New Roman" w:eastAsiaTheme="minorEastAsia" w:cstheme="minorEastAsia"/>
                <w:b w:val="0"/>
                <w:bCs/>
                <w:smallCaps w:val="0"/>
                <w:sz w:val="22"/>
                <w:szCs w:val="22"/>
                <w:highlight w:val="none"/>
              </w:rPr>
              <w:t>全称</w:t>
            </w:r>
          </w:p>
          <w:p w14:paraId="227426D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lang w:eastAsia="zh-CN"/>
              </w:rPr>
            </w:pPr>
            <w:r>
              <w:rPr>
                <w:rFonts w:hint="eastAsia" w:ascii="Times New Roman" w:hAnsi="Times New Roman" w:eastAsiaTheme="minorEastAsia" w:cstheme="minorEastAsia"/>
                <w:b w:val="0"/>
                <w:bCs/>
                <w:smallCaps w:val="0"/>
                <w:sz w:val="22"/>
                <w:szCs w:val="22"/>
                <w:highlight w:val="none"/>
                <w:lang w:eastAsia="zh-CN"/>
              </w:rPr>
              <w:t>（</w:t>
            </w:r>
            <w:r>
              <w:rPr>
                <w:rFonts w:hint="eastAsia" w:ascii="Times New Roman" w:hAnsi="Times New Roman" w:eastAsiaTheme="minorEastAsia" w:cstheme="minorEastAsia"/>
                <w:b w:val="0"/>
                <w:bCs/>
                <w:smallCaps w:val="0"/>
                <w:sz w:val="22"/>
                <w:szCs w:val="22"/>
                <w:highlight w:val="none"/>
                <w:lang w:val="en-US" w:eastAsia="zh-CN"/>
              </w:rPr>
              <w:t>加盖公章</w:t>
            </w:r>
            <w:r>
              <w:rPr>
                <w:rFonts w:hint="eastAsia" w:ascii="Times New Roman" w:hAnsi="Times New Roman" w:eastAsiaTheme="minorEastAsia" w:cstheme="minorEastAsia"/>
                <w:b w:val="0"/>
                <w:bCs/>
                <w:smallCaps w:val="0"/>
                <w:sz w:val="22"/>
                <w:szCs w:val="22"/>
                <w:highlight w:val="none"/>
                <w:lang w:eastAsia="zh-CN"/>
              </w:rPr>
              <w:t>）</w:t>
            </w:r>
          </w:p>
        </w:tc>
        <w:tc>
          <w:tcPr>
            <w:tcW w:w="7169" w:type="dxa"/>
            <w:gridSpan w:val="5"/>
            <w:tcBorders>
              <w:tl2br w:val="nil"/>
              <w:tr2bl w:val="nil"/>
            </w:tcBorders>
            <w:noWrap w:val="0"/>
            <w:vAlign w:val="center"/>
          </w:tcPr>
          <w:p w14:paraId="29A4F74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58E9D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1" w:type="dxa"/>
            <w:tcBorders>
              <w:tl2br w:val="nil"/>
              <w:tr2bl w:val="nil"/>
            </w:tcBorders>
            <w:noWrap w:val="0"/>
            <w:vAlign w:val="center"/>
          </w:tcPr>
          <w:p w14:paraId="3082134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详细地址</w:t>
            </w:r>
          </w:p>
        </w:tc>
        <w:tc>
          <w:tcPr>
            <w:tcW w:w="3569" w:type="dxa"/>
            <w:gridSpan w:val="2"/>
            <w:tcBorders>
              <w:tl2br w:val="nil"/>
              <w:tr2bl w:val="nil"/>
            </w:tcBorders>
            <w:noWrap w:val="0"/>
            <w:vAlign w:val="center"/>
          </w:tcPr>
          <w:p w14:paraId="354E092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01A3FB2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邮政编码</w:t>
            </w:r>
          </w:p>
        </w:tc>
        <w:tc>
          <w:tcPr>
            <w:tcW w:w="1980" w:type="dxa"/>
            <w:tcBorders>
              <w:tl2br w:val="nil"/>
              <w:tr2bl w:val="nil"/>
            </w:tcBorders>
            <w:noWrap w:val="0"/>
            <w:vAlign w:val="center"/>
          </w:tcPr>
          <w:p w14:paraId="3E3C111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602E6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tcBorders>
              <w:tl2br w:val="nil"/>
              <w:tr2bl w:val="nil"/>
            </w:tcBorders>
            <w:noWrap w:val="0"/>
            <w:vAlign w:val="center"/>
          </w:tcPr>
          <w:p w14:paraId="1350436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法定代表人</w:t>
            </w:r>
          </w:p>
          <w:p w14:paraId="6EF5F8C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（负责人）</w:t>
            </w:r>
          </w:p>
        </w:tc>
        <w:tc>
          <w:tcPr>
            <w:tcW w:w="3569" w:type="dxa"/>
            <w:gridSpan w:val="2"/>
            <w:tcBorders>
              <w:tl2br w:val="nil"/>
              <w:tr2bl w:val="nil"/>
            </w:tcBorders>
            <w:noWrap w:val="0"/>
            <w:vAlign w:val="center"/>
          </w:tcPr>
          <w:p w14:paraId="2C285338">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370ACC7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注册资金</w:t>
            </w:r>
          </w:p>
        </w:tc>
        <w:tc>
          <w:tcPr>
            <w:tcW w:w="1980" w:type="dxa"/>
            <w:tcBorders>
              <w:tl2br w:val="nil"/>
              <w:tr2bl w:val="nil"/>
            </w:tcBorders>
            <w:noWrap w:val="0"/>
            <w:vAlign w:val="center"/>
          </w:tcPr>
          <w:p w14:paraId="2A8C826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4E77F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31" w:type="dxa"/>
            <w:tcBorders>
              <w:tl2br w:val="nil"/>
              <w:tr2bl w:val="nil"/>
            </w:tcBorders>
            <w:noWrap w:val="0"/>
            <w:vAlign w:val="center"/>
          </w:tcPr>
          <w:p w14:paraId="1AC8C31D">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联系电话</w:t>
            </w:r>
          </w:p>
        </w:tc>
        <w:tc>
          <w:tcPr>
            <w:tcW w:w="3569" w:type="dxa"/>
            <w:gridSpan w:val="2"/>
            <w:tcBorders>
              <w:tl2br w:val="nil"/>
              <w:tr2bl w:val="nil"/>
            </w:tcBorders>
            <w:noWrap w:val="0"/>
            <w:vAlign w:val="center"/>
          </w:tcPr>
          <w:p w14:paraId="472BE3ED">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01ED164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传真</w:t>
            </w:r>
          </w:p>
        </w:tc>
        <w:tc>
          <w:tcPr>
            <w:tcW w:w="1980" w:type="dxa"/>
            <w:tcBorders>
              <w:tl2br w:val="nil"/>
              <w:tr2bl w:val="nil"/>
            </w:tcBorders>
            <w:noWrap w:val="0"/>
            <w:vAlign w:val="center"/>
          </w:tcPr>
          <w:p w14:paraId="413A634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5CD4E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1" w:type="dxa"/>
            <w:vMerge w:val="restart"/>
            <w:tcBorders>
              <w:tl2br w:val="nil"/>
              <w:tr2bl w:val="nil"/>
            </w:tcBorders>
            <w:noWrap w:val="0"/>
            <w:vAlign w:val="center"/>
          </w:tcPr>
          <w:p w14:paraId="768284B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lang w:eastAsia="zh-CN"/>
              </w:rPr>
            </w:pPr>
            <w:r>
              <w:rPr>
                <w:rFonts w:hint="eastAsia" w:ascii="Times New Roman" w:hAnsi="Times New Roman" w:eastAsiaTheme="minorEastAsia" w:cstheme="minorEastAsia"/>
                <w:b w:val="0"/>
                <w:bCs/>
                <w:smallCaps w:val="0"/>
                <w:sz w:val="22"/>
                <w:szCs w:val="22"/>
                <w:highlight w:val="none"/>
              </w:rPr>
              <w:t>投标联系人</w:t>
            </w:r>
            <w:r>
              <w:rPr>
                <w:rFonts w:hint="eastAsia" w:ascii="Times New Roman" w:hAnsi="Times New Roman" w:eastAsiaTheme="minorEastAsia" w:cstheme="minorEastAsia"/>
                <w:b w:val="0"/>
                <w:bCs/>
                <w:smallCaps w:val="0"/>
                <w:sz w:val="22"/>
                <w:szCs w:val="22"/>
                <w:highlight w:val="none"/>
                <w:lang w:val="en-US" w:eastAsia="zh-CN"/>
              </w:rPr>
              <w:t xml:space="preserve">   </w:t>
            </w:r>
            <w:r>
              <w:rPr>
                <w:rFonts w:hint="eastAsia" w:ascii="Times New Roman" w:hAnsi="Times New Roman" w:eastAsiaTheme="minorEastAsia" w:cstheme="minorEastAsia"/>
                <w:b w:val="0"/>
                <w:bCs/>
                <w:smallCaps w:val="0"/>
                <w:sz w:val="22"/>
                <w:szCs w:val="22"/>
                <w:highlight w:val="none"/>
                <w:lang w:eastAsia="zh-CN"/>
              </w:rPr>
              <w:t>（</w:t>
            </w:r>
            <w:r>
              <w:rPr>
                <w:rFonts w:hint="eastAsia" w:ascii="Times New Roman" w:hAnsi="Times New Roman" w:eastAsiaTheme="minorEastAsia" w:cstheme="minorEastAsia"/>
                <w:b w:val="0"/>
                <w:bCs/>
                <w:smallCaps w:val="0"/>
                <w:sz w:val="22"/>
                <w:szCs w:val="22"/>
                <w:highlight w:val="none"/>
                <w:lang w:val="en-US" w:eastAsia="zh-CN"/>
              </w:rPr>
              <w:t>谈判代表</w:t>
            </w:r>
            <w:r>
              <w:rPr>
                <w:rFonts w:hint="eastAsia" w:ascii="Times New Roman" w:hAnsi="Times New Roman" w:eastAsiaTheme="minorEastAsia" w:cstheme="minorEastAsia"/>
                <w:b w:val="0"/>
                <w:bCs/>
                <w:smallCaps w:val="0"/>
                <w:sz w:val="22"/>
                <w:szCs w:val="22"/>
                <w:highlight w:val="none"/>
                <w:lang w:eastAsia="zh-CN"/>
              </w:rPr>
              <w:t>）</w:t>
            </w:r>
          </w:p>
        </w:tc>
        <w:tc>
          <w:tcPr>
            <w:tcW w:w="1949" w:type="dxa"/>
            <w:tcBorders>
              <w:tl2br w:val="nil"/>
              <w:tr2bl w:val="nil"/>
            </w:tcBorders>
            <w:noWrap w:val="0"/>
            <w:vAlign w:val="center"/>
          </w:tcPr>
          <w:p w14:paraId="527E694E">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姓名</w:t>
            </w:r>
          </w:p>
        </w:tc>
        <w:tc>
          <w:tcPr>
            <w:tcW w:w="2520" w:type="dxa"/>
            <w:gridSpan w:val="2"/>
            <w:tcBorders>
              <w:tl2br w:val="nil"/>
              <w:tr2bl w:val="nil"/>
            </w:tcBorders>
            <w:noWrap w:val="0"/>
            <w:vAlign w:val="center"/>
          </w:tcPr>
          <w:p w14:paraId="742AA1B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电话号码（手机）</w:t>
            </w:r>
          </w:p>
        </w:tc>
        <w:tc>
          <w:tcPr>
            <w:tcW w:w="2700" w:type="dxa"/>
            <w:gridSpan w:val="2"/>
            <w:tcBorders>
              <w:tl2br w:val="nil"/>
              <w:tr2bl w:val="nil"/>
            </w:tcBorders>
            <w:noWrap w:val="0"/>
            <w:vAlign w:val="center"/>
          </w:tcPr>
          <w:p w14:paraId="585F41F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E-mail</w:t>
            </w:r>
          </w:p>
        </w:tc>
      </w:tr>
      <w:tr w14:paraId="028FA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1" w:type="dxa"/>
            <w:vMerge w:val="continue"/>
            <w:tcBorders>
              <w:tl2br w:val="nil"/>
              <w:tr2bl w:val="nil"/>
            </w:tcBorders>
            <w:noWrap w:val="0"/>
            <w:vAlign w:val="center"/>
          </w:tcPr>
          <w:p w14:paraId="32A9E9FC">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949" w:type="dxa"/>
            <w:tcBorders>
              <w:tl2br w:val="nil"/>
              <w:tr2bl w:val="nil"/>
            </w:tcBorders>
            <w:noWrap w:val="0"/>
            <w:vAlign w:val="center"/>
          </w:tcPr>
          <w:p w14:paraId="7048979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2520" w:type="dxa"/>
            <w:gridSpan w:val="2"/>
            <w:tcBorders>
              <w:tl2br w:val="nil"/>
              <w:tr2bl w:val="nil"/>
            </w:tcBorders>
            <w:noWrap w:val="0"/>
            <w:vAlign w:val="center"/>
          </w:tcPr>
          <w:p w14:paraId="4C98626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2700" w:type="dxa"/>
            <w:gridSpan w:val="2"/>
            <w:tcBorders>
              <w:tl2br w:val="nil"/>
              <w:tr2bl w:val="nil"/>
            </w:tcBorders>
            <w:noWrap w:val="0"/>
            <w:vAlign w:val="center"/>
          </w:tcPr>
          <w:p w14:paraId="13435CC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0BCAA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831" w:type="dxa"/>
            <w:tcBorders>
              <w:tl2br w:val="nil"/>
              <w:tr2bl w:val="nil"/>
            </w:tcBorders>
            <w:noWrap w:val="0"/>
            <w:vAlign w:val="center"/>
          </w:tcPr>
          <w:p w14:paraId="6909A60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报名文件清单</w:t>
            </w:r>
          </w:p>
        </w:tc>
        <w:tc>
          <w:tcPr>
            <w:tcW w:w="7169" w:type="dxa"/>
            <w:gridSpan w:val="5"/>
            <w:tcBorders>
              <w:tl2br w:val="nil"/>
              <w:tr2bl w:val="nil"/>
            </w:tcBorders>
            <w:noWrap w:val="0"/>
            <w:vAlign w:val="center"/>
          </w:tcPr>
          <w:p w14:paraId="5C843F89">
            <w:pPr>
              <w:keepNext w:val="0"/>
              <w:keepLines w:val="0"/>
              <w:pageBreakBefore w:val="0"/>
              <w:widowControl w:val="0"/>
              <w:numPr>
                <w:ilvl w:val="0"/>
                <w:numId w:val="3"/>
              </w:numPr>
              <w:kinsoku/>
              <w:wordWrap w:val="0"/>
              <w:overflowPunct/>
              <w:topLinePunct/>
              <w:autoSpaceDE/>
              <w:autoSpaceDN/>
              <w:bidi w:val="0"/>
              <w:adjustRightInd/>
              <w:snapToGrid/>
              <w:spacing w:line="400" w:lineRule="exact"/>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《统一社会信用代码营业执照》副本或组织机构代码证</w:t>
            </w:r>
            <w:r>
              <w:rPr>
                <w:rFonts w:hint="eastAsia" w:ascii="Times New Roman" w:hAnsi="Times New Roman" w:eastAsiaTheme="minorEastAsia" w:cstheme="minorEastAsia"/>
                <w:b w:val="0"/>
                <w:bCs/>
                <w:smallCaps w:val="0"/>
                <w:sz w:val="22"/>
                <w:szCs w:val="22"/>
                <w:highlight w:val="none"/>
                <w:lang w:val="en-US" w:eastAsia="zh-CN"/>
              </w:rPr>
              <w:sym w:font="Wingdings" w:char="00A8"/>
            </w:r>
          </w:p>
          <w:p w14:paraId="14200774">
            <w:pPr>
              <w:keepNext w:val="0"/>
              <w:keepLines w:val="0"/>
              <w:pageBreakBefore w:val="0"/>
              <w:widowControl w:val="0"/>
              <w:numPr>
                <w:ilvl w:val="0"/>
                <w:numId w:val="3"/>
              </w:numPr>
              <w:kinsoku/>
              <w:wordWrap w:val="0"/>
              <w:overflowPunct/>
              <w:topLinePunct/>
              <w:autoSpaceDE/>
              <w:autoSpaceDN/>
              <w:bidi w:val="0"/>
              <w:adjustRightInd/>
              <w:snapToGrid/>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法定代表人身份证明书及法人身份证复印件（格式自拟）</w:t>
            </w:r>
            <w:r>
              <w:rPr>
                <w:rFonts w:hint="eastAsia" w:ascii="Times New Roman" w:hAnsi="Times New Roman" w:eastAsiaTheme="minorEastAsia" w:cstheme="minorEastAsia"/>
                <w:b w:val="0"/>
                <w:bCs/>
                <w:smallCaps w:val="0"/>
                <w:sz w:val="22"/>
                <w:szCs w:val="22"/>
                <w:highlight w:val="none"/>
                <w:lang w:val="en-US" w:eastAsia="zh-CN"/>
              </w:rPr>
              <w:sym w:font="Wingdings" w:char="00A8"/>
            </w:r>
          </w:p>
          <w:p w14:paraId="027E8CF9">
            <w:pPr>
              <w:keepNext w:val="0"/>
              <w:keepLines w:val="0"/>
              <w:pageBreakBefore w:val="0"/>
              <w:widowControl w:val="0"/>
              <w:numPr>
                <w:ilvl w:val="0"/>
                <w:numId w:val="3"/>
              </w:numPr>
              <w:kinsoku/>
              <w:wordWrap w:val="0"/>
              <w:overflowPunct/>
              <w:topLinePunct/>
              <w:autoSpaceDE/>
              <w:autoSpaceDN/>
              <w:bidi w:val="0"/>
              <w:adjustRightInd/>
              <w:snapToGrid/>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法定代表人授权委托书及被委托人身份证复印件（格式自拟）</w:t>
            </w:r>
            <w:r>
              <w:rPr>
                <w:rFonts w:hint="eastAsia" w:ascii="Times New Roman" w:hAnsi="Times New Roman" w:eastAsiaTheme="minorEastAsia" w:cstheme="minorEastAsia"/>
                <w:b w:val="0"/>
                <w:bCs/>
                <w:smallCaps w:val="0"/>
                <w:sz w:val="22"/>
                <w:szCs w:val="22"/>
                <w:highlight w:val="none"/>
                <w:lang w:val="en-US" w:eastAsia="zh-CN"/>
              </w:rPr>
              <w:sym w:font="Wingdings" w:char="00A8"/>
            </w:r>
          </w:p>
        </w:tc>
      </w:tr>
      <w:tr w14:paraId="7D3C8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831" w:type="dxa"/>
            <w:tcBorders>
              <w:tl2br w:val="nil"/>
              <w:tr2bl w:val="nil"/>
            </w:tcBorders>
            <w:noWrap w:val="0"/>
            <w:vAlign w:val="center"/>
          </w:tcPr>
          <w:p w14:paraId="75478E5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备注</w:t>
            </w:r>
          </w:p>
        </w:tc>
        <w:tc>
          <w:tcPr>
            <w:tcW w:w="7169" w:type="dxa"/>
            <w:gridSpan w:val="5"/>
            <w:tcBorders>
              <w:tl2br w:val="nil"/>
              <w:tr2bl w:val="nil"/>
            </w:tcBorders>
            <w:noWrap w:val="0"/>
            <w:vAlign w:val="center"/>
          </w:tcPr>
          <w:p w14:paraId="1597E39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p w14:paraId="7031232E">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bl>
    <w:p w14:paraId="085B1B84">
      <w:pPr>
        <w:keepNext w:val="0"/>
        <w:keepLines w:val="0"/>
        <w:pageBreakBefore w:val="0"/>
        <w:widowControl/>
        <w:numPr>
          <w:ilvl w:val="0"/>
          <w:numId w:val="0"/>
        </w:numPr>
        <w:kinsoku/>
        <w:wordWrap w:val="0"/>
        <w:overflowPunct/>
        <w:topLinePunct w:val="0"/>
        <w:autoSpaceDE/>
        <w:autoSpaceDN/>
        <w:bidi w:val="0"/>
        <w:adjustRightInd/>
        <w:snapToGrid/>
        <w:spacing w:beforeLines="30" w:line="240" w:lineRule="auto"/>
        <w:ind w:firstLine="440" w:firstLineChars="200"/>
        <w:jc w:val="both"/>
        <w:textAlignment w:val="auto"/>
        <w:rPr>
          <w:rFonts w:hint="eastAsia" w:ascii="Times New Roman" w:hAnsi="Times New Roman" w:eastAsia="仿宋" w:cs="仿宋"/>
          <w:bCs/>
          <w:smallCaps w:val="0"/>
          <w:sz w:val="22"/>
          <w:szCs w:val="22"/>
          <w:highlight w:val="none"/>
          <w:lang w:val="en-US" w:eastAsia="zh-CN"/>
        </w:rPr>
      </w:pPr>
      <w:r>
        <w:rPr>
          <w:rFonts w:hint="eastAsia" w:ascii="Times New Roman" w:hAnsi="Times New Roman" w:eastAsia="仿宋" w:cs="仿宋"/>
          <w:bCs/>
          <w:smallCaps w:val="0"/>
          <w:sz w:val="22"/>
          <w:szCs w:val="22"/>
          <w:highlight w:val="none"/>
          <w:lang w:val="en-US" w:eastAsia="zh-CN"/>
        </w:rPr>
        <w:t>填报说明:本表为招标公告附件，请有意向参与的投标人填报本表，并按序提交资格文件电子版（加盖公章扫描PDF格式，与本表压缩至文件包，以“拟投标人全称-响应文件”为格式,于2024年11月6日17时前发送至</w:t>
      </w:r>
      <w:r>
        <w:rPr>
          <w:rFonts w:hint="default" w:ascii="Times New Roman" w:hAnsi="Times New Roman" w:eastAsia="仿宋" w:cs="Times New Roman"/>
          <w:bCs/>
          <w:smallCaps w:val="0"/>
          <w:sz w:val="22"/>
          <w:szCs w:val="22"/>
          <w:highlight w:val="none"/>
          <w:lang w:val="en-US" w:eastAsia="zh-CN"/>
        </w:rPr>
        <w:t>huangxj@plhr.cn</w:t>
      </w:r>
      <w:r>
        <w:rPr>
          <w:rFonts w:hint="eastAsia" w:ascii="Times New Roman" w:hAnsi="Times New Roman" w:eastAsia="仿宋" w:cs="仿宋"/>
          <w:bCs/>
          <w:smallCaps w:val="0"/>
          <w:sz w:val="22"/>
          <w:szCs w:val="22"/>
          <w:highlight w:val="none"/>
          <w:lang w:val="en-US" w:eastAsia="zh-CN"/>
        </w:rPr>
        <w:t>）</w:t>
      </w:r>
    </w:p>
    <w:p w14:paraId="45C73376">
      <w:pPr>
        <w:rPr>
          <w:rFonts w:ascii="Times New Roman" w:hAnsi="Times New Roman"/>
          <w:smallCaps w:val="0"/>
          <w:highlight w:val="none"/>
        </w:rPr>
      </w:pPr>
    </w:p>
    <w:p w14:paraId="20C5AD78">
      <w:pPr>
        <w:pStyle w:val="3"/>
        <w:pageBreakBefore w:val="0"/>
        <w:kinsoku/>
        <w:overflowPunct/>
        <w:topLinePunct w:val="0"/>
        <w:autoSpaceDE/>
        <w:autoSpaceDN/>
        <w:bidi w:val="0"/>
        <w:spacing w:line="560" w:lineRule="exact"/>
        <w:ind w:firstLine="640" w:firstLineChars="200"/>
        <w:jc w:val="center"/>
        <w:textAlignment w:val="auto"/>
        <w:rPr>
          <w:rFonts w:hint="eastAsia" w:ascii="Times New Roman" w:hAnsi="Times New Roman" w:cs="黑体"/>
          <w:b w:val="0"/>
          <w:bCs/>
          <w:smallCaps w:val="0"/>
          <w:sz w:val="32"/>
          <w:szCs w:val="32"/>
          <w:highlight w:val="none"/>
          <w:lang w:val="en-US" w:eastAsia="zh-CN"/>
        </w:rPr>
      </w:pPr>
    </w:p>
    <w:p w14:paraId="425CF836">
      <w:pPr>
        <w:pStyle w:val="3"/>
        <w:pageBreakBefore w:val="0"/>
        <w:kinsoku/>
        <w:overflowPunct/>
        <w:topLinePunct w:val="0"/>
        <w:autoSpaceDE/>
        <w:autoSpaceDN/>
        <w:bidi w:val="0"/>
        <w:spacing w:line="560" w:lineRule="exact"/>
        <w:ind w:firstLine="640" w:firstLineChars="200"/>
        <w:jc w:val="center"/>
        <w:textAlignment w:val="auto"/>
        <w:rPr>
          <w:rFonts w:hint="eastAsia" w:ascii="Times New Roman" w:hAnsi="Times New Roman" w:cs="黑体"/>
          <w:b w:val="0"/>
          <w:bCs/>
          <w:smallCaps w:val="0"/>
          <w:sz w:val="32"/>
          <w:szCs w:val="32"/>
          <w:highlight w:val="none"/>
          <w:lang w:val="en-US" w:eastAsia="zh-CN"/>
        </w:rPr>
      </w:pPr>
    </w:p>
    <w:p w14:paraId="5073164C">
      <w:pPr>
        <w:rPr>
          <w:rFonts w:hint="eastAsia" w:ascii="Times New Roman" w:hAnsi="Times New Roman"/>
          <w:smallCaps w:val="0"/>
          <w:highlight w:val="none"/>
          <w:lang w:val="en-US" w:eastAsia="zh-CN"/>
        </w:rPr>
      </w:pPr>
    </w:p>
    <w:p w14:paraId="524C5C79">
      <w:pPr>
        <w:pStyle w:val="3"/>
        <w:pageBreakBefore w:val="0"/>
        <w:kinsoku/>
        <w:overflowPunct/>
        <w:topLinePunct w:val="0"/>
        <w:autoSpaceDE/>
        <w:autoSpaceDN/>
        <w:bidi w:val="0"/>
        <w:spacing w:line="560" w:lineRule="exact"/>
        <w:jc w:val="center"/>
        <w:textAlignment w:val="auto"/>
        <w:rPr>
          <w:rFonts w:hint="default" w:ascii="Times New Roman" w:hAnsi="Times New Roman" w:eastAsia="黑体" w:cs="黑体"/>
          <w:b w:val="0"/>
          <w:bCs/>
          <w:smallCaps w:val="0"/>
          <w:sz w:val="32"/>
          <w:szCs w:val="32"/>
          <w:highlight w:val="none"/>
          <w:lang w:val="en-US" w:eastAsia="zh-CN"/>
        </w:rPr>
      </w:pPr>
      <w:bookmarkStart w:id="14" w:name="_Toc27913"/>
      <w:r>
        <w:rPr>
          <w:rFonts w:hint="eastAsia" w:ascii="Times New Roman" w:hAnsi="Times New Roman" w:cs="黑体"/>
          <w:b w:val="0"/>
          <w:bCs/>
          <w:smallCaps w:val="0"/>
          <w:sz w:val="32"/>
          <w:szCs w:val="32"/>
          <w:highlight w:val="none"/>
          <w:lang w:val="en-US" w:eastAsia="zh-CN"/>
        </w:rPr>
        <w:t>第二部分 招标文件</w:t>
      </w:r>
      <w:bookmarkEnd w:id="14"/>
    </w:p>
    <w:p w14:paraId="5D516FDF">
      <w:pPr>
        <w:pStyle w:val="3"/>
        <w:pageBreakBefore w:val="0"/>
        <w:kinsoku/>
        <w:overflowPunct/>
        <w:topLinePunct w:val="0"/>
        <w:autoSpaceDE/>
        <w:autoSpaceDN/>
        <w:bidi w:val="0"/>
        <w:spacing w:line="560" w:lineRule="exact"/>
        <w:jc w:val="center"/>
        <w:textAlignment w:val="auto"/>
        <w:rPr>
          <w:rFonts w:hint="eastAsia" w:ascii="Times New Roman" w:hAnsi="Times New Roman" w:eastAsia="黑体" w:cs="黑体"/>
          <w:b w:val="0"/>
          <w:bCs/>
          <w:smallCaps w:val="0"/>
          <w:sz w:val="32"/>
          <w:szCs w:val="32"/>
          <w:highlight w:val="none"/>
        </w:rPr>
      </w:pPr>
      <w:bookmarkStart w:id="15" w:name="_Toc25375"/>
      <w:r>
        <w:rPr>
          <w:rFonts w:hint="eastAsia" w:ascii="Times New Roman" w:hAnsi="Times New Roman" w:eastAsia="黑体" w:cs="黑体"/>
          <w:b w:val="0"/>
          <w:bCs/>
          <w:smallCaps w:val="0"/>
          <w:sz w:val="32"/>
          <w:szCs w:val="32"/>
          <w:highlight w:val="none"/>
        </w:rPr>
        <w:t>第一章 项目概况及招标程序</w:t>
      </w:r>
      <w:bookmarkEnd w:id="8"/>
      <w:bookmarkEnd w:id="15"/>
    </w:p>
    <w:p w14:paraId="52773F59">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16" w:name="_Toc28908"/>
      <w:r>
        <w:rPr>
          <w:rFonts w:hint="eastAsia" w:ascii="Times New Roman" w:hAnsi="Times New Roman" w:eastAsia="黑体" w:cs="黑体"/>
          <w:b w:val="0"/>
          <w:smallCaps w:val="0"/>
          <w:sz w:val="32"/>
          <w:szCs w:val="32"/>
          <w:highlight w:val="none"/>
          <w:lang w:val="zh-CN"/>
        </w:rPr>
        <w:t>一、项目名称</w:t>
      </w:r>
      <w:bookmarkEnd w:id="16"/>
    </w:p>
    <w:p w14:paraId="1823A7CE">
      <w:pPr>
        <w:pStyle w:val="8"/>
        <w:pageBreakBefore w:val="0"/>
        <w:tabs>
          <w:tab w:val="left" w:pos="7740"/>
        </w:tabs>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Cs/>
          <w:smallCaps w:val="0"/>
          <w:kern w:val="2"/>
          <w:sz w:val="32"/>
          <w:szCs w:val="32"/>
          <w:highlight w:val="none"/>
          <w:lang w:val="zh-CN"/>
        </w:rPr>
      </w:pPr>
      <w:r>
        <w:rPr>
          <w:rFonts w:hint="eastAsia" w:ascii="Times New Roman" w:hAnsi="Times New Roman" w:eastAsia="仿宋_GB2312" w:cs="仿宋_GB2312"/>
          <w:bCs/>
          <w:smallCaps w:val="0"/>
          <w:kern w:val="2"/>
          <w:sz w:val="32"/>
          <w:szCs w:val="32"/>
          <w:highlight w:val="none"/>
          <w:lang w:val="zh-CN"/>
        </w:rPr>
        <w:t>深圳市鹏劳人力资源管理有限公司</w:t>
      </w:r>
      <w:r>
        <w:rPr>
          <w:rFonts w:hint="eastAsia" w:ascii="Times New Roman" w:hAnsi="Times New Roman" w:eastAsia="仿宋_GB2312" w:cs="仿宋_GB2312"/>
          <w:bCs/>
          <w:smallCaps w:val="0"/>
          <w:kern w:val="2"/>
          <w:sz w:val="32"/>
          <w:szCs w:val="32"/>
          <w:highlight w:val="none"/>
          <w:lang w:val="en-US" w:eastAsia="zh-CN"/>
        </w:rPr>
        <w:t>2025-2026年度电脑设备租赁服务采购</w:t>
      </w:r>
      <w:r>
        <w:rPr>
          <w:rFonts w:hint="eastAsia" w:ascii="Times New Roman" w:hAnsi="Times New Roman" w:eastAsia="仿宋_GB2312" w:cs="仿宋_GB2312"/>
          <w:bCs/>
          <w:smallCaps w:val="0"/>
          <w:kern w:val="2"/>
          <w:sz w:val="32"/>
          <w:szCs w:val="32"/>
          <w:highlight w:val="none"/>
          <w:lang w:val="zh-CN" w:eastAsia="zh-CN"/>
        </w:rPr>
        <w:t>项目</w:t>
      </w:r>
    </w:p>
    <w:p w14:paraId="46036965">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17" w:name="_Toc14795"/>
      <w:r>
        <w:rPr>
          <w:rFonts w:hint="eastAsia" w:ascii="Times New Roman" w:hAnsi="Times New Roman" w:eastAsia="黑体" w:cs="黑体"/>
          <w:b w:val="0"/>
          <w:smallCaps w:val="0"/>
          <w:sz w:val="32"/>
          <w:szCs w:val="32"/>
          <w:highlight w:val="none"/>
          <w:lang w:val="zh-CN"/>
        </w:rPr>
        <w:t>二、招标编号</w:t>
      </w:r>
      <w:bookmarkEnd w:id="17"/>
    </w:p>
    <w:p w14:paraId="3E7806FF">
      <w:pPr>
        <w:pStyle w:val="8"/>
        <w:pageBreakBefore w:val="0"/>
        <w:tabs>
          <w:tab w:val="left" w:pos="7740"/>
        </w:tabs>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Cs/>
          <w:smallCaps w:val="0"/>
          <w:kern w:val="2"/>
          <w:sz w:val="32"/>
          <w:szCs w:val="32"/>
          <w:highlight w:val="none"/>
          <w:lang w:val="en-US" w:eastAsia="zh-CN"/>
        </w:rPr>
      </w:pPr>
      <w:r>
        <w:rPr>
          <w:rFonts w:hint="eastAsia" w:ascii="Times New Roman" w:hAnsi="Times New Roman" w:eastAsia="仿宋_GB2312" w:cs="仿宋_GB2312"/>
          <w:bCs/>
          <w:smallCaps w:val="0"/>
          <w:kern w:val="2"/>
          <w:sz w:val="32"/>
          <w:szCs w:val="32"/>
          <w:highlight w:val="none"/>
        </w:rPr>
        <w:t>PLHR-ZB-FW-202</w:t>
      </w:r>
      <w:r>
        <w:rPr>
          <w:rFonts w:hint="eastAsia" w:ascii="Times New Roman" w:hAnsi="Times New Roman" w:eastAsia="仿宋_GB2312" w:cs="仿宋_GB2312"/>
          <w:bCs/>
          <w:smallCaps w:val="0"/>
          <w:kern w:val="2"/>
          <w:sz w:val="32"/>
          <w:szCs w:val="32"/>
          <w:highlight w:val="none"/>
          <w:lang w:val="en-US" w:eastAsia="zh-CN"/>
        </w:rPr>
        <w:t>407</w:t>
      </w:r>
    </w:p>
    <w:p w14:paraId="19583103">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18" w:name="_Toc267"/>
      <w:r>
        <w:rPr>
          <w:rFonts w:hint="eastAsia" w:ascii="Times New Roman" w:hAnsi="Times New Roman" w:eastAsia="黑体" w:cs="黑体"/>
          <w:b w:val="0"/>
          <w:smallCaps w:val="0"/>
          <w:sz w:val="32"/>
          <w:szCs w:val="32"/>
          <w:highlight w:val="none"/>
        </w:rPr>
        <w:t>三、投标人资质要求</w:t>
      </w:r>
      <w:bookmarkEnd w:id="18"/>
    </w:p>
    <w:p w14:paraId="754EF2F4">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bookmarkStart w:id="19" w:name="_Toc19081"/>
      <w:r>
        <w:rPr>
          <w:rFonts w:hint="eastAsia" w:ascii="Times New Roman" w:hAnsi="Times New Roman" w:eastAsia="仿宋_GB2312" w:cs="仿宋_GB2312"/>
          <w:bCs/>
          <w:smallCaps w:val="0"/>
          <w:sz w:val="32"/>
          <w:szCs w:val="32"/>
          <w:highlight w:val="none"/>
          <w:lang w:val="en-US" w:eastAsia="zh-CN"/>
        </w:rPr>
        <w:t>投标人为国内注册（指按国家有关规定要求注册的），经营本次采购内容，具备独立法人资格的供应商；</w:t>
      </w:r>
    </w:p>
    <w:p w14:paraId="4122D07B">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投标人具有完全响应本项目采购需求的能力；</w:t>
      </w:r>
    </w:p>
    <w:p w14:paraId="28FBA4CB">
      <w:pPr>
        <w:keepNext w:val="0"/>
        <w:keepLines w:val="0"/>
        <w:pageBreakBefore w:val="0"/>
        <w:widowControl w:val="0"/>
        <w:numPr>
          <w:ilvl w:val="0"/>
          <w:numId w:val="4"/>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投标人无在“信用中国”网站(www.creditchina.gov.cn)、中国政府采购网(www.ccgp.gov.cn)、</w:t>
      </w:r>
      <w:r>
        <w:rPr>
          <w:rFonts w:hint="eastAsia" w:ascii="Times New Roman" w:hAnsi="Times New Roman" w:eastAsia="仿宋_GB2312" w:cs="仿宋_GB2312"/>
          <w:bCs/>
          <w:smallCaps w:val="0"/>
          <w:sz w:val="32"/>
          <w:szCs w:val="32"/>
          <w:highlight w:val="none"/>
          <w:lang w:val="en-US" w:eastAsia="zh-CN"/>
        </w:rPr>
        <w:fldChar w:fldCharType="begin"/>
      </w:r>
      <w:r>
        <w:rPr>
          <w:rFonts w:hint="eastAsia" w:ascii="Times New Roman" w:hAnsi="Times New Roman" w:eastAsia="仿宋_GB2312" w:cs="仿宋_GB2312"/>
          <w:bCs/>
          <w:smallCaps w:val="0"/>
          <w:sz w:val="32"/>
          <w:szCs w:val="32"/>
          <w:highlight w:val="none"/>
          <w:lang w:val="en-US" w:eastAsia="zh-CN"/>
        </w:rPr>
        <w:instrText xml:space="preserve"> HYPERLINK "https://wenshu.court.gov.cn/" </w:instrText>
      </w:r>
      <w:r>
        <w:rPr>
          <w:rFonts w:hint="eastAsia" w:ascii="Times New Roman" w:hAnsi="Times New Roman" w:eastAsia="仿宋_GB2312" w:cs="仿宋_GB2312"/>
          <w:bCs/>
          <w:smallCaps w:val="0"/>
          <w:sz w:val="32"/>
          <w:szCs w:val="32"/>
          <w:highlight w:val="none"/>
          <w:lang w:val="en-US" w:eastAsia="zh-CN"/>
        </w:rPr>
        <w:fldChar w:fldCharType="separate"/>
      </w:r>
      <w:r>
        <w:rPr>
          <w:rFonts w:hint="eastAsia" w:ascii="Times New Roman" w:hAnsi="Times New Roman" w:eastAsia="仿宋_GB2312" w:cs="仿宋_GB2312"/>
          <w:bCs/>
          <w:smallCaps w:val="0"/>
          <w:sz w:val="32"/>
          <w:szCs w:val="32"/>
          <w:highlight w:val="none"/>
          <w:lang w:val="en-US" w:eastAsia="zh-CN"/>
        </w:rPr>
        <w:t>中国裁判文书网（wenshu.court.gov.cn)</w:t>
      </w:r>
      <w:r>
        <w:rPr>
          <w:rFonts w:hint="eastAsia" w:ascii="Times New Roman" w:hAnsi="Times New Roman" w:eastAsia="仿宋_GB2312" w:cs="仿宋_GB2312"/>
          <w:bCs/>
          <w:smallCaps w:val="0"/>
          <w:sz w:val="32"/>
          <w:szCs w:val="32"/>
          <w:highlight w:val="none"/>
          <w:lang w:val="en-US" w:eastAsia="zh-CN"/>
        </w:rPr>
        <w:fldChar w:fldCharType="end"/>
      </w:r>
      <w:r>
        <w:rPr>
          <w:rFonts w:hint="eastAsia" w:ascii="Times New Roman" w:hAnsi="Times New Roman" w:eastAsia="仿宋_GB2312" w:cs="仿宋_GB2312"/>
          <w:bCs/>
          <w:smallCaps w:val="0"/>
          <w:sz w:val="32"/>
          <w:szCs w:val="32"/>
          <w:highlight w:val="none"/>
          <w:lang w:val="en-US" w:eastAsia="zh-CN"/>
        </w:rPr>
        <w:t>等渠道列入失信被执行人、重大税收违法案件当事人名单、政府采购严重违法失信行为记录名单、网络行贿行为记录的情况；</w:t>
      </w:r>
    </w:p>
    <w:p w14:paraId="0F03939C">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投标人如为与招标人既往合作的供应商，需满足招标人关于供应商的管理规定，且2021年1月1日至本项目确定成交人之日前投标人无重大事故、服务投诉或质量不符合记录；</w:t>
      </w:r>
    </w:p>
    <w:p w14:paraId="3A9B1F82">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投标人应具备良好的商业信誉和健全的财务会计制度，具有依法缴纳税收和社会保障资金的良好记录，及良好的租赁维修服务。</w:t>
      </w:r>
    </w:p>
    <w:p w14:paraId="5F03CEB1">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投标人能够开具符合国家法律法规规定、符合国有企业财务管理及审计合规要求的增值税发票，如所提供的产品或服务税率不同，须按照相应税率分别开具发票；</w:t>
      </w:r>
    </w:p>
    <w:p w14:paraId="1517C1CD">
      <w:pPr>
        <w:pageBreakBefore w:val="0"/>
        <w:widowControl/>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1DFA659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20" w:name="_Toc7077"/>
      <w:r>
        <w:rPr>
          <w:rFonts w:hint="eastAsia" w:ascii="Times New Roman" w:hAnsi="Times New Roman" w:eastAsia="黑体" w:cs="黑体"/>
          <w:b w:val="0"/>
          <w:smallCaps w:val="0"/>
          <w:sz w:val="32"/>
          <w:szCs w:val="32"/>
          <w:highlight w:val="none"/>
          <w:lang w:val="zh-CN"/>
        </w:rPr>
        <w:t>四、项目内容及需求</w:t>
      </w:r>
      <w:bookmarkEnd w:id="19"/>
      <w:bookmarkEnd w:id="20"/>
    </w:p>
    <w:p w14:paraId="60FF9DD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lang w:val="en-US" w:eastAsia="zh-CN"/>
        </w:rPr>
      </w:pPr>
      <w:r>
        <w:rPr>
          <w:rFonts w:hint="eastAsia" w:ascii="Times New Roman" w:hAnsi="Times New Roman" w:eastAsia="楷体_GB2312" w:cs="楷体_GB2312"/>
          <w:bCs/>
          <w:smallCaps w:val="0"/>
          <w:sz w:val="32"/>
          <w:szCs w:val="32"/>
          <w:highlight w:val="none"/>
          <w:lang w:eastAsia="zh-CN"/>
        </w:rPr>
        <w:t>（</w:t>
      </w:r>
      <w:r>
        <w:rPr>
          <w:rFonts w:hint="eastAsia" w:ascii="Times New Roman" w:hAnsi="Times New Roman" w:eastAsia="楷体_GB2312" w:cs="楷体_GB2312"/>
          <w:bCs/>
          <w:smallCaps w:val="0"/>
          <w:sz w:val="32"/>
          <w:szCs w:val="32"/>
          <w:highlight w:val="none"/>
          <w:lang w:val="en-US" w:eastAsia="zh-CN"/>
        </w:rPr>
        <w:t>一）项目需求</w:t>
      </w:r>
    </w:p>
    <w:p w14:paraId="6544895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 w:val="0"/>
          <w:bCs w:val="0"/>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在项目周期内，根据招标人</w:t>
      </w:r>
      <w:r>
        <w:rPr>
          <w:rFonts w:hint="eastAsia" w:ascii="Times New Roman" w:hAnsi="Times New Roman" w:eastAsia="仿宋_GB2312" w:cs="仿宋_GB2312"/>
          <w:bCs/>
          <w:smallCaps w:val="0"/>
          <w:sz w:val="32"/>
          <w:szCs w:val="32"/>
          <w:highlight w:val="none"/>
          <w:lang w:val="en-US" w:eastAsia="zh-CN"/>
        </w:rPr>
        <w:t>需求提供</w:t>
      </w:r>
      <w:r>
        <w:rPr>
          <w:rFonts w:hint="eastAsia" w:ascii="Times New Roman" w:hAnsi="Times New Roman" w:eastAsia="仿宋_GB2312" w:cs="仿宋_GB2312"/>
          <w:b w:val="0"/>
          <w:bCs w:val="0"/>
          <w:smallCaps w:val="0"/>
          <w:sz w:val="32"/>
          <w:szCs w:val="32"/>
          <w:highlight w:val="none"/>
          <w:lang w:val="en-US" w:eastAsia="zh-CN"/>
        </w:rPr>
        <w:t>电脑办公设备租赁及相应配套服务。具体设备要求及预算价格如下：</w:t>
      </w:r>
    </w:p>
    <w:tbl>
      <w:tblPr>
        <w:tblStyle w:val="16"/>
        <w:tblW w:w="100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985"/>
        <w:gridCol w:w="1451"/>
        <w:gridCol w:w="1680"/>
        <w:gridCol w:w="1266"/>
        <w:gridCol w:w="1527"/>
        <w:gridCol w:w="1001"/>
      </w:tblGrid>
      <w:tr w14:paraId="765DC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145" w:type="dxa"/>
            <w:tcBorders>
              <w:tl2br w:val="nil"/>
              <w:tr2bl w:val="nil"/>
            </w:tcBorders>
            <w:noWrap w:val="0"/>
            <w:vAlign w:val="center"/>
          </w:tcPr>
          <w:p w14:paraId="4BD253A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配置要求</w:t>
            </w:r>
          </w:p>
        </w:tc>
        <w:tc>
          <w:tcPr>
            <w:tcW w:w="985" w:type="dxa"/>
            <w:tcBorders>
              <w:tl2br w:val="nil"/>
              <w:tr2bl w:val="nil"/>
            </w:tcBorders>
            <w:noWrap w:val="0"/>
            <w:vAlign w:val="center"/>
          </w:tcPr>
          <w:p w14:paraId="79C61BD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品牌</w:t>
            </w:r>
          </w:p>
          <w:p w14:paraId="44305946">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型号</w:t>
            </w:r>
          </w:p>
        </w:tc>
        <w:tc>
          <w:tcPr>
            <w:tcW w:w="1451" w:type="dxa"/>
            <w:tcBorders>
              <w:tl2br w:val="nil"/>
              <w:tr2bl w:val="nil"/>
            </w:tcBorders>
            <w:noWrap w:val="0"/>
            <w:vAlign w:val="center"/>
          </w:tcPr>
          <w:p w14:paraId="75A72936">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设备成新</w:t>
            </w:r>
          </w:p>
        </w:tc>
        <w:tc>
          <w:tcPr>
            <w:tcW w:w="1680" w:type="dxa"/>
            <w:tcBorders>
              <w:tl2br w:val="nil"/>
              <w:tr2bl w:val="nil"/>
            </w:tcBorders>
            <w:noWrap w:val="0"/>
            <w:vAlign w:val="center"/>
          </w:tcPr>
          <w:p w14:paraId="58CC631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预计租赁费用</w:t>
            </w:r>
          </w:p>
          <w:p w14:paraId="190AF7EF">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（元/台/月）</w:t>
            </w:r>
          </w:p>
        </w:tc>
        <w:tc>
          <w:tcPr>
            <w:tcW w:w="1266" w:type="dxa"/>
            <w:tcBorders>
              <w:tl2br w:val="nil"/>
              <w:tr2bl w:val="nil"/>
            </w:tcBorders>
            <w:noWrap w:val="0"/>
            <w:vAlign w:val="center"/>
          </w:tcPr>
          <w:p w14:paraId="40B22D9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配置对象</w:t>
            </w:r>
          </w:p>
        </w:tc>
        <w:tc>
          <w:tcPr>
            <w:tcW w:w="1527" w:type="dxa"/>
            <w:tcBorders>
              <w:tl2br w:val="nil"/>
              <w:tr2bl w:val="nil"/>
            </w:tcBorders>
            <w:noWrap w:val="0"/>
            <w:vAlign w:val="center"/>
          </w:tcPr>
          <w:p w14:paraId="128C5D2D">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预计租赁数</w:t>
            </w:r>
          </w:p>
        </w:tc>
        <w:tc>
          <w:tcPr>
            <w:tcW w:w="1001" w:type="dxa"/>
            <w:tcBorders>
              <w:tl2br w:val="nil"/>
              <w:tr2bl w:val="nil"/>
            </w:tcBorders>
            <w:noWrap w:val="0"/>
            <w:vAlign w:val="center"/>
          </w:tcPr>
          <w:p w14:paraId="12E57827">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备注</w:t>
            </w:r>
          </w:p>
        </w:tc>
      </w:tr>
      <w:tr w14:paraId="7DF04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145" w:type="dxa"/>
            <w:tcBorders>
              <w:tl2br w:val="nil"/>
              <w:tr2bl w:val="nil"/>
            </w:tcBorders>
            <w:noWrap w:val="0"/>
            <w:vAlign w:val="center"/>
          </w:tcPr>
          <w:p w14:paraId="11467C5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不低于i511代CPU、16G内存及512GSSD硬盘</w:t>
            </w:r>
          </w:p>
        </w:tc>
        <w:tc>
          <w:tcPr>
            <w:tcW w:w="985" w:type="dxa"/>
            <w:tcBorders>
              <w:tl2br w:val="nil"/>
              <w:tr2bl w:val="nil"/>
            </w:tcBorders>
            <w:noWrap w:val="0"/>
            <w:vAlign w:val="center"/>
          </w:tcPr>
          <w:p w14:paraId="5922000F">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不限</w:t>
            </w:r>
          </w:p>
        </w:tc>
        <w:tc>
          <w:tcPr>
            <w:tcW w:w="1451" w:type="dxa"/>
            <w:tcBorders>
              <w:tl2br w:val="nil"/>
              <w:tr2bl w:val="nil"/>
            </w:tcBorders>
            <w:noWrap w:val="0"/>
            <w:vAlign w:val="center"/>
          </w:tcPr>
          <w:p w14:paraId="51744585">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全新机</w:t>
            </w:r>
          </w:p>
        </w:tc>
        <w:tc>
          <w:tcPr>
            <w:tcW w:w="1680" w:type="dxa"/>
            <w:tcBorders>
              <w:tl2br w:val="nil"/>
              <w:tr2bl w:val="nil"/>
            </w:tcBorders>
            <w:noWrap w:val="0"/>
            <w:vAlign w:val="center"/>
          </w:tcPr>
          <w:p w14:paraId="36399AE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含增值税</w:t>
            </w:r>
          </w:p>
          <w:p w14:paraId="709209A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128元</w:t>
            </w:r>
          </w:p>
        </w:tc>
        <w:tc>
          <w:tcPr>
            <w:tcW w:w="1266" w:type="dxa"/>
            <w:tcBorders>
              <w:tl2br w:val="nil"/>
              <w:tr2bl w:val="nil"/>
            </w:tcBorders>
            <w:noWrap w:val="0"/>
            <w:vAlign w:val="center"/>
          </w:tcPr>
          <w:p w14:paraId="15774203">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公司员工</w:t>
            </w:r>
          </w:p>
        </w:tc>
        <w:tc>
          <w:tcPr>
            <w:tcW w:w="1527" w:type="dxa"/>
            <w:tcBorders>
              <w:tl2br w:val="nil"/>
              <w:tr2bl w:val="nil"/>
            </w:tcBorders>
            <w:noWrap w:val="0"/>
            <w:vAlign w:val="center"/>
          </w:tcPr>
          <w:p w14:paraId="3958B84D">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150台左右（截止至2025年底）</w:t>
            </w:r>
          </w:p>
        </w:tc>
        <w:tc>
          <w:tcPr>
            <w:tcW w:w="1001" w:type="dxa"/>
            <w:tcBorders>
              <w:tl2br w:val="nil"/>
              <w:tr2bl w:val="nil"/>
            </w:tcBorders>
            <w:noWrap w:val="0"/>
            <w:vAlign w:val="center"/>
          </w:tcPr>
          <w:p w14:paraId="1963D96E">
            <w:pPr>
              <w:pStyle w:val="30"/>
              <w:keepNext w:val="0"/>
              <w:keepLines w:val="0"/>
              <w:pageBreakBefore w:val="0"/>
              <w:widowControl w:val="0"/>
              <w:kinsoku/>
              <w:overflowPunct/>
              <w:topLinePunct w:val="0"/>
              <w:bidi w:val="0"/>
              <w:snapToGrid/>
              <w:spacing w:line="280" w:lineRule="exact"/>
              <w:ind w:firstLine="42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p>
        </w:tc>
      </w:tr>
      <w:tr w14:paraId="2F31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055" w:type="dxa"/>
            <w:gridSpan w:val="7"/>
            <w:tcBorders>
              <w:tl2br w:val="nil"/>
              <w:tr2bl w:val="nil"/>
            </w:tcBorders>
            <w:noWrap w:val="0"/>
            <w:vAlign w:val="center"/>
          </w:tcPr>
          <w:p w14:paraId="4CC5A43B">
            <w:pPr>
              <w:keepNext w:val="0"/>
              <w:keepLines w:val="0"/>
              <w:pageBreakBefore w:val="0"/>
              <w:widowControl w:val="0"/>
              <w:numPr>
                <w:ilvl w:val="0"/>
                <w:numId w:val="0"/>
              </w:numPr>
              <w:kinsoku/>
              <w:wordWrap/>
              <w:overflowPunct/>
              <w:topLinePunct w:val="0"/>
              <w:bidi w:val="0"/>
              <w:snapToGrid/>
              <w:spacing w:line="280" w:lineRule="exact"/>
              <w:jc w:val="left"/>
              <w:textAlignment w:val="auto"/>
              <w:rPr>
                <w:rFonts w:hint="eastAsia" w:ascii="宋体" w:hAnsi="宋体" w:eastAsia="宋体" w:cs="宋体"/>
                <w:smallCaps w:val="0"/>
                <w:sz w:val="24"/>
                <w:szCs w:val="24"/>
                <w:highlight w:val="none"/>
                <w:lang w:val="en-US" w:eastAsia="zh-CN"/>
              </w:rPr>
            </w:pPr>
            <w:r>
              <w:rPr>
                <w:rFonts w:hint="eastAsia" w:ascii="宋体" w:hAnsi="宋体" w:eastAsia="宋体" w:cs="宋体"/>
                <w:smallCaps w:val="0"/>
                <w:sz w:val="24"/>
                <w:szCs w:val="24"/>
                <w:highlight w:val="none"/>
                <w:lang w:val="en-US" w:eastAsia="zh-CN"/>
              </w:rPr>
              <w:t xml:space="preserve">注：1.具体实际租赁设备数量以实际在职在岗人数为准，可能略有波动。 </w:t>
            </w:r>
          </w:p>
          <w:p w14:paraId="7074EC2E">
            <w:pPr>
              <w:pStyle w:val="30"/>
              <w:keepNext w:val="0"/>
              <w:keepLines w:val="0"/>
              <w:pageBreakBefore w:val="0"/>
              <w:widowControl w:val="0"/>
              <w:kinsoku/>
              <w:wordWrap/>
              <w:overflowPunct/>
              <w:topLinePunct w:val="0"/>
              <w:bidi w:val="0"/>
              <w:snapToGrid/>
              <w:spacing w:line="280" w:lineRule="exact"/>
              <w:ind w:firstLine="420" w:firstLineChars="0"/>
              <w:jc w:val="left"/>
              <w:textAlignment w:val="auto"/>
              <w:rPr>
                <w:rFonts w:hint="eastAsia" w:ascii="宋体" w:hAnsi="宋体" w:eastAsia="宋体" w:cs="宋体"/>
                <w:smallCaps w:val="0"/>
                <w:sz w:val="24"/>
                <w:szCs w:val="24"/>
                <w:highlight w:val="none"/>
                <w:lang w:val="en-US" w:eastAsia="zh-CN"/>
              </w:rPr>
            </w:pPr>
            <w:r>
              <w:rPr>
                <w:rFonts w:hint="eastAsia" w:ascii="宋体" w:hAnsi="宋体" w:eastAsia="宋体" w:cs="宋体"/>
                <w:smallCaps w:val="0"/>
                <w:sz w:val="24"/>
                <w:szCs w:val="24"/>
                <w:highlight w:val="none"/>
                <w:lang w:val="en-US" w:eastAsia="zh-CN"/>
              </w:rPr>
              <w:t xml:space="preserve">2.具体项目要求详见招标文件。   </w:t>
            </w:r>
          </w:p>
        </w:tc>
      </w:tr>
    </w:tbl>
    <w:p w14:paraId="635B5EF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lang w:val="en-US" w:eastAsia="zh-CN"/>
        </w:rPr>
      </w:pPr>
      <w:r>
        <w:rPr>
          <w:rFonts w:hint="eastAsia" w:ascii="Times New Roman" w:hAnsi="Times New Roman" w:eastAsia="楷体_GB2312" w:cs="楷体_GB2312"/>
          <w:bCs/>
          <w:smallCaps w:val="0"/>
          <w:sz w:val="32"/>
          <w:szCs w:val="32"/>
          <w:highlight w:val="none"/>
          <w:lang w:val="en-US" w:eastAsia="zh-CN"/>
        </w:rPr>
        <w:t>（二）项目要求</w:t>
      </w:r>
    </w:p>
    <w:p w14:paraId="732AA2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1.中标人人提供的所有设备严格按照招标人的要求提供；</w:t>
      </w:r>
    </w:p>
    <w:p w14:paraId="7CA2F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2.中标人提供的所有设备均经过严格测试；</w:t>
      </w:r>
    </w:p>
    <w:p w14:paraId="4F82E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3.中标人需保证提供的各项设备在交付使用期间，免费对招标人进行操</w:t>
      </w:r>
      <w:r>
        <w:rPr>
          <w:rFonts w:hint="eastAsia" w:ascii="Times New Roman" w:hAnsi="Times New Roman" w:eastAsia="仿宋_GB2312" w:cs="仿宋_GB2312"/>
          <w:b w:val="0"/>
          <w:bCs/>
          <w:smallCaps w:val="0"/>
          <w:kern w:val="2"/>
          <w:sz w:val="32"/>
          <w:szCs w:val="32"/>
          <w:highlight w:val="none"/>
          <w:lang w:val="en-US" w:eastAsia="zh-CN" w:bidi="ar-SA"/>
        </w:rPr>
        <w:t>作培训与技术指导，及时回复招标人提出的咨询和疑问，妥善处理各种问题（技术支持采用：上门、电话、邮件等）；</w:t>
      </w:r>
    </w:p>
    <w:p w14:paraId="5968B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仿宋_GB2312" w:hAnsi="仿宋_GB2312" w:eastAsia="仿宋_GB2312" w:cs="仿宋_GB2312"/>
          <w:b w:val="0"/>
          <w:bCs/>
          <w:smallCaps w:val="0"/>
          <w:kern w:val="2"/>
          <w:sz w:val="32"/>
          <w:szCs w:val="32"/>
          <w:highlight w:val="none"/>
          <w:lang w:val="en-US" w:eastAsia="zh-CN" w:bidi="ar-SA"/>
        </w:rPr>
        <w:t>4.招</w:t>
      </w:r>
      <w:r>
        <w:rPr>
          <w:rFonts w:hint="eastAsia" w:ascii="Times New Roman" w:hAnsi="Times New Roman" w:eastAsia="仿宋_GB2312" w:cs="仿宋_GB2312"/>
          <w:b w:val="0"/>
          <w:bCs/>
          <w:smallCaps w:val="0"/>
          <w:kern w:val="2"/>
          <w:sz w:val="32"/>
          <w:szCs w:val="32"/>
          <w:highlight w:val="none"/>
          <w:lang w:val="en-US" w:eastAsia="zh-CN" w:bidi="ar-SA"/>
        </w:rPr>
        <w:t>标人在使用租赁设备期间出现问题需报修的，中标人应在规定的时间内响应，非人为问题，优先满足招标人员工办公需要，中标人应免费提供完善妥当的售后服务；</w:t>
      </w:r>
    </w:p>
    <w:p w14:paraId="1187D164">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bCs/>
          <w:smallCaps w:val="0"/>
          <w:sz w:val="32"/>
          <w:szCs w:val="32"/>
          <w:highlight w:val="none"/>
          <w:lang w:val="zh-CN"/>
        </w:rPr>
      </w:pPr>
      <w:bookmarkStart w:id="21" w:name="_Toc14585"/>
      <w:r>
        <w:rPr>
          <w:rFonts w:hint="eastAsia" w:ascii="Times New Roman" w:hAnsi="Times New Roman" w:eastAsia="黑体" w:cs="黑体"/>
          <w:b w:val="0"/>
          <w:bCs/>
          <w:smallCaps w:val="0"/>
          <w:sz w:val="32"/>
          <w:szCs w:val="32"/>
          <w:highlight w:val="none"/>
          <w:lang w:val="zh-CN" w:eastAsia="zh-CN"/>
        </w:rPr>
        <w:t>五、</w:t>
      </w:r>
      <w:r>
        <w:rPr>
          <w:rFonts w:hint="eastAsia" w:ascii="Times New Roman" w:hAnsi="Times New Roman" w:eastAsia="黑体" w:cs="黑体"/>
          <w:b w:val="0"/>
          <w:bCs/>
          <w:smallCaps w:val="0"/>
          <w:sz w:val="32"/>
          <w:szCs w:val="32"/>
          <w:highlight w:val="none"/>
          <w:lang w:val="zh-CN"/>
        </w:rPr>
        <w:t>项目期限</w:t>
      </w:r>
      <w:bookmarkEnd w:id="21"/>
    </w:p>
    <w:p w14:paraId="5AA3BC33">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本项目服务周期为两年，拟采用“1+1”模式，即在采购成交首年实施履约评价≧85分的，招标人与成交人以本项目成交价格及服务约定续签服务合同一年。</w:t>
      </w:r>
    </w:p>
    <w:p w14:paraId="2AF7CEA9">
      <w:pPr>
        <w:pStyle w:val="4"/>
        <w:keepNext w:val="0"/>
        <w:keepLines w:val="0"/>
        <w:pageBreakBefore w:val="0"/>
        <w:widowControl w:val="0"/>
        <w:kinsoku/>
        <w:wordWrap w:val="0"/>
        <w:overflowPunct/>
        <w:topLinePunct w:val="0"/>
        <w:autoSpaceDE/>
        <w:autoSpaceDN/>
        <w:bidi w:val="0"/>
        <w:adjustRightInd/>
        <w:spacing w:before="0" w:after="0" w:line="560" w:lineRule="exact"/>
        <w:ind w:firstLine="640" w:firstLineChars="200"/>
        <w:textAlignment w:val="auto"/>
        <w:rPr>
          <w:rFonts w:hint="eastAsia" w:ascii="Times New Roman" w:hAnsi="Times New Roman" w:eastAsia="黑体" w:cs="黑体"/>
          <w:b w:val="0"/>
          <w:bCs/>
          <w:smallCaps w:val="0"/>
          <w:sz w:val="32"/>
          <w:szCs w:val="32"/>
          <w:highlight w:val="none"/>
          <w:lang w:val="zh-CN" w:eastAsia="zh-CN"/>
        </w:rPr>
      </w:pPr>
      <w:bookmarkStart w:id="22" w:name="_Toc7942"/>
      <w:r>
        <w:rPr>
          <w:rFonts w:hint="eastAsia" w:ascii="Times New Roman" w:hAnsi="Times New Roman" w:eastAsia="黑体" w:cs="黑体"/>
          <w:b w:val="0"/>
          <w:bCs/>
          <w:smallCaps w:val="0"/>
          <w:sz w:val="32"/>
          <w:szCs w:val="32"/>
          <w:highlight w:val="none"/>
          <w:lang w:val="zh-CN" w:eastAsia="zh-CN"/>
        </w:rPr>
        <w:t>六</w:t>
      </w:r>
      <w:r>
        <w:rPr>
          <w:rFonts w:hint="eastAsia" w:ascii="Times New Roman" w:hAnsi="Times New Roman" w:eastAsia="黑体" w:cs="黑体"/>
          <w:b w:val="0"/>
          <w:bCs/>
          <w:smallCaps w:val="0"/>
          <w:sz w:val="32"/>
          <w:szCs w:val="32"/>
          <w:highlight w:val="none"/>
          <w:lang w:val="zh-CN"/>
        </w:rPr>
        <w:t>、项目</w:t>
      </w:r>
      <w:r>
        <w:rPr>
          <w:rFonts w:hint="eastAsia" w:ascii="Times New Roman" w:hAnsi="Times New Roman" w:eastAsia="黑体" w:cs="黑体"/>
          <w:b w:val="0"/>
          <w:bCs/>
          <w:smallCaps w:val="0"/>
          <w:sz w:val="32"/>
          <w:szCs w:val="32"/>
          <w:highlight w:val="none"/>
          <w:lang w:val="zh-CN" w:eastAsia="zh-CN"/>
        </w:rPr>
        <w:t>费用</w:t>
      </w:r>
      <w:bookmarkEnd w:id="22"/>
    </w:p>
    <w:p w14:paraId="6F265C6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本项目</w:t>
      </w:r>
      <w:r>
        <w:rPr>
          <w:rFonts w:hint="eastAsia" w:ascii="Times New Roman" w:hAnsi="Times New Roman" w:eastAsia="仿宋_GB2312" w:cs="仿宋_GB2312"/>
          <w:bCs/>
          <w:smallCaps w:val="0"/>
          <w:sz w:val="32"/>
          <w:szCs w:val="32"/>
          <w:highlight w:val="none"/>
          <w:lang w:val="en-US" w:eastAsia="zh-CN"/>
        </w:rPr>
        <w:t>不设置限价，总预算价为460800元（含增值税）。</w:t>
      </w:r>
    </w:p>
    <w:p w14:paraId="6AF849CD">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 w:cs="仿宋"/>
          <w:bCs/>
          <w:smallCaps w:val="0"/>
          <w:color w:val="D0CECE" w:themeColor="background2" w:themeShade="E6"/>
          <w:sz w:val="32"/>
          <w:szCs w:val="32"/>
          <w:highlight w:val="none"/>
          <w:lang w:val="zh-CN"/>
        </w:rPr>
      </w:pPr>
      <w:r>
        <w:rPr>
          <w:rFonts w:hint="eastAsia" w:ascii="Times New Roman" w:hAnsi="Times New Roman" w:eastAsia="仿宋_GB2312" w:cs="仿宋_GB2312"/>
          <w:bCs/>
          <w:smallCaps w:val="0"/>
          <w:color w:val="000000"/>
          <w:sz w:val="32"/>
          <w:szCs w:val="32"/>
          <w:highlight w:val="none"/>
          <w:lang w:val="zh-CN"/>
        </w:rPr>
        <w:t>投标</w:t>
      </w:r>
      <w:r>
        <w:rPr>
          <w:rFonts w:hint="eastAsia" w:ascii="Times New Roman" w:hAnsi="Times New Roman" w:eastAsia="仿宋_GB2312" w:cs="仿宋_GB2312"/>
          <w:bCs/>
          <w:smallCaps w:val="0"/>
          <w:color w:val="000000"/>
          <w:sz w:val="32"/>
          <w:szCs w:val="32"/>
          <w:highlight w:val="none"/>
        </w:rPr>
        <w:t>人</w:t>
      </w:r>
      <w:r>
        <w:rPr>
          <w:rFonts w:hint="eastAsia" w:ascii="Times New Roman" w:hAnsi="Times New Roman" w:eastAsia="仿宋_GB2312" w:cs="仿宋_GB2312"/>
          <w:bCs/>
          <w:smallCaps w:val="0"/>
          <w:color w:val="000000"/>
          <w:sz w:val="32"/>
          <w:szCs w:val="32"/>
          <w:highlight w:val="none"/>
          <w:lang w:val="zh-CN"/>
        </w:rPr>
        <w:t>应当根据本企业的成本</w:t>
      </w:r>
      <w:r>
        <w:rPr>
          <w:rFonts w:hint="eastAsia" w:ascii="Times New Roman" w:hAnsi="Times New Roman" w:eastAsia="仿宋_GB2312" w:cs="仿宋_GB2312"/>
          <w:bCs/>
          <w:smallCaps w:val="0"/>
          <w:color w:val="000000"/>
          <w:sz w:val="32"/>
          <w:szCs w:val="32"/>
          <w:highlight w:val="none"/>
          <w:lang w:val="en-US" w:eastAsia="zh-CN"/>
        </w:rPr>
        <w:t>并结合本项目预算</w:t>
      </w:r>
      <w:r>
        <w:rPr>
          <w:rFonts w:hint="eastAsia" w:ascii="Times New Roman" w:hAnsi="Times New Roman" w:eastAsia="仿宋_GB2312" w:cs="仿宋_GB2312"/>
          <w:bCs/>
          <w:smallCaps w:val="0"/>
          <w:color w:val="000000"/>
          <w:sz w:val="32"/>
          <w:szCs w:val="32"/>
          <w:highlight w:val="none"/>
          <w:lang w:val="zh-CN"/>
        </w:rPr>
        <w:t>自行决定</w:t>
      </w:r>
      <w:r>
        <w:rPr>
          <w:rFonts w:hint="eastAsia" w:ascii="Times New Roman" w:hAnsi="Times New Roman" w:eastAsia="仿宋_GB2312" w:cs="仿宋_GB2312"/>
          <w:bCs/>
          <w:smallCaps w:val="0"/>
          <w:color w:val="000000"/>
          <w:sz w:val="32"/>
          <w:szCs w:val="32"/>
          <w:highlight w:val="none"/>
          <w:lang w:val="en-US" w:eastAsia="zh-CN"/>
        </w:rPr>
        <w:t>合理</w:t>
      </w:r>
      <w:r>
        <w:rPr>
          <w:rFonts w:hint="eastAsia" w:ascii="Times New Roman" w:hAnsi="Times New Roman" w:eastAsia="仿宋_GB2312" w:cs="仿宋_GB2312"/>
          <w:bCs/>
          <w:smallCaps w:val="0"/>
          <w:color w:val="000000"/>
          <w:sz w:val="32"/>
          <w:szCs w:val="32"/>
          <w:highlight w:val="none"/>
          <w:lang w:val="zh-CN"/>
        </w:rPr>
        <w:t>报价，但不得以低于其企业成本的报价投标</w:t>
      </w:r>
      <w:r>
        <w:rPr>
          <w:rFonts w:hint="eastAsia" w:ascii="Times New Roman" w:hAnsi="Times New Roman" w:eastAsia="仿宋_GB2312" w:cs="仿宋_GB2312"/>
          <w:bCs/>
          <w:smallCaps w:val="0"/>
          <w:color w:val="auto"/>
          <w:sz w:val="32"/>
          <w:szCs w:val="32"/>
          <w:highlight w:val="none"/>
          <w:lang w:val="zh-CN"/>
        </w:rPr>
        <w:t>。</w:t>
      </w:r>
    </w:p>
    <w:p w14:paraId="4A8BFD0D">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3" w:name="_Toc25206"/>
      <w:r>
        <w:rPr>
          <w:rFonts w:hint="eastAsia" w:ascii="Times New Roman" w:hAnsi="Times New Roman" w:eastAsia="黑体" w:cs="黑体"/>
          <w:b w:val="0"/>
          <w:smallCaps w:val="0"/>
          <w:sz w:val="32"/>
          <w:szCs w:val="32"/>
          <w:highlight w:val="none"/>
          <w:lang w:val="en-US" w:eastAsia="zh-CN"/>
        </w:rPr>
        <w:t>七</w:t>
      </w:r>
      <w:r>
        <w:rPr>
          <w:rFonts w:hint="eastAsia" w:ascii="Times New Roman" w:hAnsi="Times New Roman" w:eastAsia="黑体" w:cs="黑体"/>
          <w:b w:val="0"/>
          <w:smallCaps w:val="0"/>
          <w:sz w:val="32"/>
          <w:szCs w:val="32"/>
          <w:highlight w:val="none"/>
        </w:rPr>
        <w:t>、投标文件要求</w:t>
      </w:r>
      <w:bookmarkEnd w:id="23"/>
    </w:p>
    <w:p w14:paraId="272A24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rPr>
      </w:pPr>
      <w:r>
        <w:rPr>
          <w:rFonts w:hint="eastAsia" w:ascii="Times New Roman" w:hAnsi="Times New Roman" w:eastAsia="楷体_GB2312" w:cs="楷体_GB2312"/>
          <w:bCs/>
          <w:smallCaps w:val="0"/>
          <w:sz w:val="32"/>
          <w:szCs w:val="32"/>
          <w:highlight w:val="none"/>
        </w:rPr>
        <w:t>（一）投标文件构成</w:t>
      </w:r>
    </w:p>
    <w:p w14:paraId="5164C54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
          <w:bCs w:val="0"/>
          <w:smallCaps w:val="0"/>
          <w:sz w:val="32"/>
          <w:szCs w:val="32"/>
          <w:highlight w:val="none"/>
        </w:rPr>
        <w:t>1.</w:t>
      </w:r>
      <w:r>
        <w:rPr>
          <w:rFonts w:hint="eastAsia" w:ascii="仿宋_GB2312" w:hAnsi="仿宋_GB2312" w:eastAsia="仿宋_GB2312" w:cs="仿宋_GB2312"/>
          <w:bCs/>
          <w:smallCaps w:val="0"/>
          <w:sz w:val="32"/>
          <w:szCs w:val="32"/>
          <w:highlight w:val="none"/>
        </w:rPr>
        <w:t>唱标信封及开标一览表</w:t>
      </w:r>
    </w:p>
    <w:p w14:paraId="75BBB1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唱标信封</w:t>
      </w:r>
    </w:p>
    <w:p w14:paraId="238BA3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用以密封开标一览表，信封格式见本文件“第二部分 招标文件 第四章 投标文</w:t>
      </w:r>
      <w:r>
        <w:rPr>
          <w:rFonts w:hint="eastAsia" w:ascii="Times New Roman" w:hAnsi="Times New Roman" w:eastAsia="仿宋_GB2312" w:cs="仿宋_GB2312"/>
          <w:bCs/>
          <w:smallCaps w:val="0"/>
          <w:sz w:val="32"/>
          <w:szCs w:val="32"/>
          <w:highlight w:val="none"/>
        </w:rPr>
        <w:t>件格式 格式1 唱标信封”；</w:t>
      </w:r>
    </w:p>
    <w:p w14:paraId="6A23CC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2）</w:t>
      </w:r>
      <w:r>
        <w:rPr>
          <w:rFonts w:hint="eastAsia" w:ascii="Times New Roman" w:hAnsi="Times New Roman" w:eastAsia="仿宋_GB2312" w:cs="仿宋_GB2312"/>
          <w:bCs/>
          <w:smallCaps w:val="0"/>
          <w:sz w:val="32"/>
          <w:szCs w:val="32"/>
          <w:highlight w:val="none"/>
        </w:rPr>
        <w:t>开标一览表</w:t>
      </w:r>
    </w:p>
    <w:p w14:paraId="799773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用唱标信封单独封装，与投标文件一并递交，一览表指定格式见“第四章 投标文件格式 格式2 开标一览表”。</w:t>
      </w:r>
    </w:p>
    <w:p w14:paraId="2F2C8BB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
          <w:bCs w:val="0"/>
          <w:smallCaps w:val="0"/>
          <w:sz w:val="32"/>
          <w:szCs w:val="32"/>
          <w:highlight w:val="none"/>
        </w:rPr>
        <w:t>2.</w:t>
      </w:r>
      <w:r>
        <w:rPr>
          <w:rFonts w:hint="eastAsia" w:ascii="Times New Roman" w:hAnsi="Times New Roman" w:eastAsia="仿宋_GB2312" w:cs="仿宋_GB2312"/>
          <w:bCs/>
          <w:smallCaps w:val="0"/>
          <w:sz w:val="32"/>
          <w:szCs w:val="32"/>
          <w:highlight w:val="none"/>
        </w:rPr>
        <w:t>投标文件</w:t>
      </w:r>
    </w:p>
    <w:p w14:paraId="1ED60E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1）</w:t>
      </w:r>
      <w:r>
        <w:rPr>
          <w:rFonts w:hint="eastAsia" w:ascii="Times New Roman" w:hAnsi="Times New Roman" w:eastAsia="仿宋_GB2312" w:cs="仿宋_GB2312"/>
          <w:bCs/>
          <w:smallCaps w:val="0"/>
          <w:sz w:val="32"/>
          <w:szCs w:val="32"/>
          <w:highlight w:val="none"/>
        </w:rPr>
        <w:t>资质证明文件</w:t>
      </w:r>
    </w:p>
    <w:p w14:paraId="5800D8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投标人资质证明文件应按以下顺序排序：</w:t>
      </w:r>
    </w:p>
    <w:p w14:paraId="75BDF2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“三证合一”营业执照，非企业机构提供组织机构代码证（加盖公章）</w:t>
      </w:r>
      <w:r>
        <w:rPr>
          <w:rFonts w:hint="eastAsia" w:ascii="仿宋_GB2312" w:hAnsi="仿宋_GB2312" w:eastAsia="仿宋_GB2312" w:cs="仿宋_GB2312"/>
          <w:bCs/>
          <w:smallCaps w:val="0"/>
          <w:sz w:val="32"/>
          <w:szCs w:val="32"/>
          <w:highlight w:val="none"/>
          <w:lang w:val="en-US" w:eastAsia="zh-CN"/>
        </w:rPr>
        <w:t>;</w:t>
      </w:r>
    </w:p>
    <w:p w14:paraId="22C3C58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2）法定代表人身份证明书及法人身份证复印件（格式自拟并加盖公章）；</w:t>
      </w:r>
    </w:p>
    <w:p w14:paraId="0EA166A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3）法定代表人授权委托书及被委托人身份证复印件（格式自拟并加盖公章）；</w:t>
      </w:r>
    </w:p>
    <w:p w14:paraId="1ADDCC06">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2</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价格文件</w:t>
      </w:r>
    </w:p>
    <w:p w14:paraId="77BBD016">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 xml:space="preserve">格式参见本文件“第二部分 第四章 投标文件格式 格式5 </w:t>
      </w:r>
      <w:r>
        <w:rPr>
          <w:rFonts w:hint="eastAsia" w:ascii="Times New Roman" w:hAnsi="Times New Roman" w:eastAsia="仿宋_GB2312" w:cs="仿宋_GB2312"/>
          <w:bCs/>
          <w:smallCaps w:val="0"/>
          <w:sz w:val="32"/>
          <w:szCs w:val="32"/>
          <w:highlight w:val="none"/>
          <w:lang w:val="en-US" w:eastAsia="zh-CN"/>
        </w:rPr>
        <w:t>服务项目报价单</w:t>
      </w:r>
      <w:r>
        <w:rPr>
          <w:rFonts w:hint="eastAsia" w:ascii="Times New Roman" w:hAnsi="Times New Roman" w:eastAsia="仿宋_GB2312" w:cs="仿宋_GB2312"/>
          <w:bCs/>
          <w:smallCaps w:val="0"/>
          <w:sz w:val="32"/>
          <w:szCs w:val="32"/>
          <w:highlight w:val="none"/>
        </w:rPr>
        <w:t>”。</w:t>
      </w:r>
    </w:p>
    <w:p w14:paraId="31DC9704">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3</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商务技术文件</w:t>
      </w:r>
    </w:p>
    <w:p w14:paraId="3289CA2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1</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 xml:space="preserve">评标标准及细则内要求提供的证明文件（按本文件 </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第二章 评标程序及标准”内各评分项列示顺序排序并加盖公章）；</w:t>
      </w:r>
    </w:p>
    <w:p w14:paraId="2510ACC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2</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服务方案</w:t>
      </w:r>
    </w:p>
    <w:p w14:paraId="5DE0F6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服务方案应包括以下内容：</w:t>
      </w:r>
    </w:p>
    <w:p w14:paraId="0B0312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lang w:val="en-US"/>
        </w:rPr>
      </w:pPr>
      <w:r>
        <w:rPr>
          <w:rFonts w:hint="eastAsia" w:ascii="仿宋_GB2312" w:hAnsi="仿宋_GB2312" w:eastAsia="仿宋_GB2312" w:cs="仿宋_GB2312"/>
          <w:bCs/>
          <w:smallCaps w:val="0"/>
          <w:sz w:val="32"/>
          <w:szCs w:val="32"/>
          <w:highlight w:val="none"/>
        </w:rPr>
        <w:t>A.</w:t>
      </w:r>
      <w:r>
        <w:rPr>
          <w:rFonts w:hint="eastAsia" w:ascii="仿宋_GB2312" w:hAnsi="仿宋_GB2312" w:eastAsia="仿宋_GB2312" w:cs="仿宋_GB2312"/>
          <w:bCs/>
          <w:smallCaps w:val="0"/>
          <w:sz w:val="32"/>
          <w:szCs w:val="32"/>
          <w:highlight w:val="none"/>
          <w:lang w:val="en-US" w:eastAsia="zh-CN"/>
        </w:rPr>
        <w:t>包含但不限于项目服务流程，售后服务流程、规章制度、服务团队成员等，服务团队格式参</w:t>
      </w:r>
      <w:r>
        <w:rPr>
          <w:rFonts w:hint="eastAsia" w:ascii="Times New Roman" w:hAnsi="Times New Roman" w:eastAsia="仿宋_GB2312" w:cs="仿宋_GB2312"/>
          <w:bCs/>
          <w:smallCaps w:val="0"/>
          <w:sz w:val="32"/>
          <w:szCs w:val="32"/>
          <w:highlight w:val="none"/>
          <w:lang w:val="en-US" w:eastAsia="zh-CN"/>
        </w:rPr>
        <w:t>见本文件“</w:t>
      </w:r>
      <w:r>
        <w:rPr>
          <w:rFonts w:hint="eastAsia" w:ascii="Times New Roman" w:hAnsi="Times New Roman" w:eastAsia="仿宋_GB2312" w:cs="仿宋_GB2312"/>
          <w:bCs/>
          <w:smallCaps w:val="0"/>
          <w:sz w:val="32"/>
          <w:szCs w:val="32"/>
          <w:highlight w:val="none"/>
        </w:rPr>
        <w:t>第四章 投标文件格式 格式</w:t>
      </w:r>
      <w:r>
        <w:rPr>
          <w:rFonts w:hint="eastAsia" w:ascii="Times New Roman" w:hAnsi="Times New Roman" w:eastAsia="仿宋_GB2312" w:cs="仿宋_GB2312"/>
          <w:bCs/>
          <w:smallCaps w:val="0"/>
          <w:sz w:val="32"/>
          <w:szCs w:val="32"/>
          <w:highlight w:val="none"/>
          <w:lang w:val="en-US" w:eastAsia="zh-CN"/>
        </w:rPr>
        <w:t>4 服务团队成员名单”；</w:t>
      </w:r>
    </w:p>
    <w:p w14:paraId="4C1DED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B.除招标文件要求外，投标人另行承诺的随附服务（投标人对本项目招标的响应视同为投标人对本项目所有服务需求的响应，无需在方案中重复体现）；</w:t>
      </w:r>
    </w:p>
    <w:p w14:paraId="3E056D6F">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C.服务有效期；</w:t>
      </w:r>
    </w:p>
    <w:p w14:paraId="5A7332FD">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D</w:t>
      </w:r>
      <w:r>
        <w:rPr>
          <w:rFonts w:hint="eastAsia" w:ascii="仿宋_GB2312" w:hAnsi="仿宋_GB2312" w:eastAsia="仿宋_GB2312" w:cs="仿宋_GB2312"/>
          <w:bCs/>
          <w:smallCaps w:val="0"/>
          <w:sz w:val="32"/>
          <w:szCs w:val="32"/>
          <w:highlight w:val="none"/>
        </w:rPr>
        <w:t>.其他投标人认为需要说明的事项</w:t>
      </w:r>
      <w:r>
        <w:rPr>
          <w:rFonts w:hint="eastAsia" w:ascii="仿宋_GB2312" w:hAnsi="仿宋_GB2312" w:eastAsia="仿宋_GB2312" w:cs="仿宋_GB2312"/>
          <w:bCs/>
          <w:smallCaps w:val="0"/>
          <w:sz w:val="32"/>
          <w:szCs w:val="32"/>
          <w:highlight w:val="none"/>
          <w:lang w:eastAsia="zh-CN"/>
        </w:rPr>
        <w:t>。</w:t>
      </w:r>
    </w:p>
    <w:p w14:paraId="6645F3AA">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（4）招标文件</w:t>
      </w:r>
      <w:r>
        <w:rPr>
          <w:rFonts w:hint="eastAsia" w:ascii="仿宋_GB2312" w:hAnsi="仿宋_GB2312" w:eastAsia="仿宋_GB2312" w:cs="仿宋_GB2312"/>
          <w:bCs/>
          <w:smallCaps w:val="0"/>
          <w:sz w:val="32"/>
          <w:szCs w:val="32"/>
          <w:highlight w:val="none"/>
        </w:rPr>
        <w:t>要求响应清单</w:t>
      </w:r>
    </w:p>
    <w:p w14:paraId="245A97CD">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投标人应制作与服务方案一致，</w:t>
      </w:r>
      <w:r>
        <w:rPr>
          <w:rFonts w:hint="eastAsia" w:ascii="Times New Roman" w:hAnsi="Times New Roman" w:eastAsia="仿宋_GB2312" w:cs="仿宋_GB2312"/>
          <w:bCs/>
          <w:smallCaps w:val="0"/>
          <w:sz w:val="32"/>
          <w:szCs w:val="32"/>
          <w:highlight w:val="none"/>
        </w:rPr>
        <w:t>按照本文件“第四章 投标文件格式 格式</w:t>
      </w:r>
      <w:r>
        <w:rPr>
          <w:rFonts w:hint="eastAsia" w:ascii="Times New Roman" w:hAnsi="Times New Roman" w:eastAsia="仿宋_GB2312" w:cs="仿宋_GB2312"/>
          <w:bCs/>
          <w:smallCaps w:val="0"/>
          <w:sz w:val="32"/>
          <w:szCs w:val="32"/>
          <w:highlight w:val="none"/>
          <w:lang w:val="en-US" w:eastAsia="zh-CN"/>
        </w:rPr>
        <w:t>5</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w:t>
      </w:r>
      <w:r>
        <w:rPr>
          <w:rFonts w:hint="eastAsia" w:ascii="Times New Roman" w:hAnsi="Times New Roman" w:eastAsia="仿宋_GB2312" w:cs="仿宋_GB2312"/>
          <w:bCs/>
          <w:smallCaps w:val="0"/>
          <w:sz w:val="32"/>
          <w:szCs w:val="32"/>
          <w:highlight w:val="none"/>
          <w:lang w:val="en-US" w:eastAsia="zh-CN"/>
        </w:rPr>
        <w:t>情况偏离表</w:t>
      </w:r>
      <w:r>
        <w:rPr>
          <w:rFonts w:hint="eastAsia" w:ascii="Times New Roman" w:hAnsi="Times New Roman" w:eastAsia="仿宋_GB2312" w:cs="仿宋_GB2312"/>
          <w:bCs/>
          <w:smallCaps w:val="0"/>
          <w:sz w:val="32"/>
          <w:szCs w:val="32"/>
          <w:highlight w:val="none"/>
        </w:rPr>
        <w:t>”模板填列的</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响应情况，注明相关</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响应的服务承诺及投标文件对应页数。</w:t>
      </w:r>
    </w:p>
    <w:p w14:paraId="35BAA79F">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（5）廉洁</w:t>
      </w:r>
      <w:r>
        <w:rPr>
          <w:rFonts w:hint="eastAsia" w:ascii="仿宋_GB2312" w:hAnsi="仿宋_GB2312" w:eastAsia="仿宋_GB2312" w:cs="仿宋_GB2312"/>
          <w:bCs/>
          <w:smallCaps w:val="0"/>
          <w:sz w:val="32"/>
          <w:szCs w:val="32"/>
          <w:highlight w:val="none"/>
        </w:rPr>
        <w:t>承诺函</w:t>
      </w:r>
    </w:p>
    <w:p w14:paraId="71A90C5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承诺函格式参见本文件“第四章 投标文件格式 格式</w:t>
      </w:r>
      <w:r>
        <w:rPr>
          <w:rFonts w:hint="eastAsia" w:ascii="Times New Roman" w:hAnsi="Times New Roman" w:eastAsia="仿宋_GB2312" w:cs="仿宋_GB2312"/>
          <w:bCs/>
          <w:smallCaps w:val="0"/>
          <w:sz w:val="32"/>
          <w:szCs w:val="32"/>
          <w:highlight w:val="none"/>
          <w:lang w:val="en-US" w:eastAsia="zh-CN"/>
        </w:rPr>
        <w:t>7</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廉洁</w:t>
      </w:r>
      <w:r>
        <w:rPr>
          <w:rFonts w:hint="eastAsia" w:ascii="Times New Roman" w:hAnsi="Times New Roman" w:eastAsia="仿宋_GB2312" w:cs="仿宋_GB2312"/>
          <w:bCs/>
          <w:smallCaps w:val="0"/>
          <w:sz w:val="32"/>
          <w:szCs w:val="32"/>
          <w:highlight w:val="none"/>
        </w:rPr>
        <w:t>承诺函”。</w:t>
      </w:r>
    </w:p>
    <w:p w14:paraId="55DA8533">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楷体_GB2312" w:cs="楷体_GB2312"/>
          <w:b w:val="0"/>
          <w:bCs/>
          <w:smallCaps w:val="0"/>
          <w:sz w:val="32"/>
          <w:szCs w:val="32"/>
          <w:highlight w:val="none"/>
        </w:rPr>
      </w:pPr>
      <w:r>
        <w:rPr>
          <w:rFonts w:hint="eastAsia" w:ascii="Times New Roman" w:hAnsi="Times New Roman" w:eastAsia="楷体_GB2312" w:cs="楷体_GB2312"/>
          <w:b w:val="0"/>
          <w:bCs/>
          <w:smallCaps w:val="0"/>
          <w:sz w:val="32"/>
          <w:szCs w:val="32"/>
          <w:highlight w:val="none"/>
        </w:rPr>
        <w:t>投标文件标注及封装</w:t>
      </w:r>
    </w:p>
    <w:p w14:paraId="7FB4501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投标人应将投标文件严格按以下要求进行标注、封装，并就封装做出清晰标注：</w:t>
      </w:r>
    </w:p>
    <w:p w14:paraId="7133091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1.开标一览表单独用唱标信封封装；</w:t>
      </w:r>
    </w:p>
    <w:p w14:paraId="02D27C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2.</w:t>
      </w:r>
      <w:r>
        <w:rPr>
          <w:rFonts w:hint="eastAsia" w:ascii="仿宋_GB2312" w:hAnsi="仿宋_GB2312" w:eastAsia="仿宋_GB2312" w:cs="仿宋_GB2312"/>
          <w:b w:val="0"/>
          <w:bCs/>
          <w:smallCaps w:val="0"/>
          <w:sz w:val="32"/>
          <w:szCs w:val="32"/>
          <w:highlight w:val="none"/>
          <w:lang w:val="en-US" w:eastAsia="zh-CN"/>
        </w:rPr>
        <w:t>编制具有目录页的</w:t>
      </w:r>
      <w:r>
        <w:rPr>
          <w:rFonts w:hint="eastAsia" w:ascii="仿宋_GB2312" w:hAnsi="仿宋_GB2312" w:eastAsia="仿宋_GB2312" w:cs="仿宋_GB2312"/>
          <w:b w:val="0"/>
          <w:bCs/>
          <w:smallCaps w:val="0"/>
          <w:sz w:val="32"/>
          <w:szCs w:val="32"/>
          <w:highlight w:val="none"/>
        </w:rPr>
        <w:t>投标文</w:t>
      </w:r>
      <w:r>
        <w:rPr>
          <w:rFonts w:hint="eastAsia" w:ascii="Times New Roman" w:hAnsi="Times New Roman" w:eastAsia="仿宋_GB2312" w:cs="仿宋_GB2312"/>
          <w:b w:val="0"/>
          <w:bCs/>
          <w:smallCaps w:val="0"/>
          <w:sz w:val="32"/>
          <w:szCs w:val="32"/>
          <w:highlight w:val="none"/>
        </w:rPr>
        <w:t>件</w:t>
      </w:r>
      <w:r>
        <w:rPr>
          <w:rFonts w:hint="eastAsia" w:ascii="Times New Roman" w:hAnsi="Times New Roman" w:eastAsia="仿宋_GB2312" w:cs="仿宋_GB2312"/>
          <w:b w:val="0"/>
          <w:bCs/>
          <w:smallCaps w:val="0"/>
          <w:sz w:val="32"/>
          <w:szCs w:val="32"/>
          <w:highlight w:val="none"/>
          <w:lang w:val="en-US" w:eastAsia="zh-CN"/>
        </w:rPr>
        <w:t>装订</w:t>
      </w:r>
      <w:r>
        <w:rPr>
          <w:rFonts w:hint="eastAsia" w:ascii="Times New Roman" w:hAnsi="Times New Roman" w:eastAsia="仿宋_GB2312" w:cs="仿宋_GB2312"/>
          <w:b w:val="0"/>
          <w:bCs/>
          <w:smallCaps w:val="0"/>
          <w:sz w:val="32"/>
          <w:szCs w:val="32"/>
          <w:highlight w:val="none"/>
        </w:rPr>
        <w:t>成册，形成正本1份，正本每页均需加盖公章，并盖骑缝章；</w:t>
      </w:r>
    </w:p>
    <w:p w14:paraId="5D1459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3.正</w:t>
      </w:r>
      <w:r>
        <w:rPr>
          <w:rFonts w:hint="eastAsia" w:ascii="Times New Roman" w:hAnsi="Times New Roman" w:eastAsia="仿宋_GB2312" w:cs="仿宋_GB2312"/>
          <w:b w:val="0"/>
          <w:bCs/>
          <w:smallCaps w:val="0"/>
          <w:sz w:val="32"/>
          <w:szCs w:val="32"/>
          <w:highlight w:val="none"/>
        </w:rPr>
        <w:t>本应与和其内容一致的投标文件电子文本的U盘共同封装至一个信封内；</w:t>
      </w:r>
    </w:p>
    <w:p w14:paraId="75789CF3">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4.</w:t>
      </w:r>
      <w:r>
        <w:rPr>
          <w:rFonts w:hint="eastAsia" w:ascii="Times New Roman" w:hAnsi="Times New Roman" w:eastAsia="仿宋_GB2312" w:cs="仿宋_GB2312"/>
          <w:b w:val="0"/>
          <w:bCs/>
          <w:smallCaps w:val="0"/>
          <w:sz w:val="32"/>
          <w:szCs w:val="32"/>
          <w:highlight w:val="none"/>
        </w:rPr>
        <w:t>投标文件应同时形成副本</w:t>
      </w:r>
      <w:r>
        <w:rPr>
          <w:rFonts w:hint="eastAsia" w:ascii="Times New Roman" w:hAnsi="Times New Roman" w:eastAsia="仿宋_GB2312" w:cs="仿宋_GB2312"/>
          <w:b w:val="0"/>
          <w:bCs/>
          <w:smallCaps w:val="0"/>
          <w:sz w:val="32"/>
          <w:szCs w:val="32"/>
          <w:highlight w:val="none"/>
          <w:lang w:val="en-US" w:eastAsia="zh-CN"/>
        </w:rPr>
        <w:t>2</w:t>
      </w:r>
      <w:r>
        <w:rPr>
          <w:rFonts w:hint="eastAsia" w:ascii="Times New Roman" w:hAnsi="Times New Roman" w:eastAsia="仿宋_GB2312" w:cs="仿宋_GB2312"/>
          <w:b w:val="0"/>
          <w:bCs/>
          <w:smallCaps w:val="0"/>
          <w:sz w:val="32"/>
          <w:szCs w:val="32"/>
          <w:highlight w:val="none"/>
        </w:rPr>
        <w:t>份，副本可为正本的复印件，封装至一个信封内；</w:t>
      </w:r>
    </w:p>
    <w:p w14:paraId="0E15AE7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5.正副本封面及封装信封均应注明投标项目、招标编码、投标单位全称、正/副本性质，装于一个信封内密封；</w:t>
      </w:r>
    </w:p>
    <w:p w14:paraId="4A5443D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6.封装</w:t>
      </w:r>
      <w:r>
        <w:rPr>
          <w:rFonts w:hint="eastAsia" w:ascii="Times New Roman" w:hAnsi="Times New Roman" w:eastAsia="仿宋_GB2312" w:cs="仿宋_GB2312"/>
          <w:b w:val="0"/>
          <w:bCs/>
          <w:smallCaps w:val="0"/>
          <w:sz w:val="32"/>
          <w:szCs w:val="32"/>
          <w:highlight w:val="none"/>
        </w:rPr>
        <w:t>信封除以上信息外，还应标注内件正/副本性质、份数，密封处加盖公章。</w:t>
      </w:r>
    </w:p>
    <w:p w14:paraId="20A0DD3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投标人未按照招标文件要求进行排序、标注或封装导致招标人提前拆开或错误拆开投标文件造成废标的，由投标人自行承担不利后果。</w:t>
      </w:r>
    </w:p>
    <w:p w14:paraId="434E380E">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4" w:name="_Toc26703"/>
      <w:r>
        <w:rPr>
          <w:rFonts w:hint="eastAsia" w:ascii="Times New Roman" w:hAnsi="Times New Roman" w:eastAsia="黑体" w:cs="黑体"/>
          <w:b w:val="0"/>
          <w:smallCaps w:val="0"/>
          <w:sz w:val="32"/>
          <w:szCs w:val="32"/>
          <w:highlight w:val="none"/>
          <w:lang w:val="en-US" w:eastAsia="zh-CN"/>
        </w:rPr>
        <w:t>八</w:t>
      </w:r>
      <w:r>
        <w:rPr>
          <w:rFonts w:hint="eastAsia" w:ascii="Times New Roman" w:hAnsi="Times New Roman" w:eastAsia="黑体" w:cs="黑体"/>
          <w:b w:val="0"/>
          <w:smallCaps w:val="0"/>
          <w:sz w:val="32"/>
          <w:szCs w:val="32"/>
          <w:highlight w:val="none"/>
        </w:rPr>
        <w:t>、投标人须知</w:t>
      </w:r>
      <w:bookmarkEnd w:id="24"/>
    </w:p>
    <w:p w14:paraId="2F9FA4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（一）投标人因故不能参加投标的，须在开标会议至少前2个工作日内以书面形式通知招标人。如未按本条要求通知招标人而造成招标工作受到阻碍或不良影响的，三年内不得参与招标人采购项目投标。</w:t>
      </w:r>
    </w:p>
    <w:p w14:paraId="33BDF0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（二）投标人对招标文件有任何疑问的，可在</w:t>
      </w:r>
      <w:r>
        <w:rPr>
          <w:rFonts w:hint="eastAsia" w:ascii="Times New Roman" w:hAnsi="Times New Roman" w:eastAsia="仿宋_GB2312" w:cs="仿宋_GB2312"/>
          <w:bCs/>
          <w:smallCaps w:val="0"/>
          <w:sz w:val="32"/>
          <w:szCs w:val="32"/>
          <w:highlight w:val="none"/>
          <w:lang w:val="en-US" w:eastAsia="zh-CN"/>
        </w:rPr>
        <w:t>2024年11月4日17时</w:t>
      </w:r>
      <w:r>
        <w:rPr>
          <w:rFonts w:hint="eastAsia" w:ascii="Times New Roman" w:hAnsi="Times New Roman" w:eastAsia="仿宋_GB2312" w:cs="仿宋_GB2312"/>
          <w:bCs/>
          <w:smallCaps w:val="0"/>
          <w:sz w:val="32"/>
          <w:szCs w:val="32"/>
          <w:highlight w:val="none"/>
        </w:rPr>
        <w:t xml:space="preserve">前内向本文件“第一部分 </w:t>
      </w:r>
      <w:r>
        <w:rPr>
          <w:rFonts w:hint="eastAsia" w:ascii="Times New Roman" w:hAnsi="Times New Roman" w:eastAsia="仿宋_GB2312" w:cs="仿宋_GB2312"/>
          <w:bCs/>
          <w:smallCaps w:val="0"/>
          <w:sz w:val="32"/>
          <w:szCs w:val="32"/>
          <w:highlight w:val="none"/>
          <w:lang w:val="en-US" w:eastAsia="zh-CN"/>
        </w:rPr>
        <w:t>招标公告</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十</w:t>
      </w:r>
      <w:r>
        <w:rPr>
          <w:rFonts w:hint="eastAsia" w:ascii="Times New Roman" w:hAnsi="Times New Roman" w:eastAsia="仿宋_GB2312" w:cs="仿宋_GB2312"/>
          <w:bCs/>
          <w:smallCaps w:val="0"/>
          <w:sz w:val="32"/>
          <w:szCs w:val="32"/>
          <w:highlight w:val="none"/>
        </w:rPr>
        <w:t>、联系方式”预留联系邮箱发送答疑请求，未在规定时间或未按指定方式提出的，视为对招标文件及程序的认可，不得再以任何理由要求修改或提出质疑。招标人将于</w:t>
      </w:r>
      <w:r>
        <w:rPr>
          <w:rFonts w:hint="eastAsia" w:ascii="Times New Roman" w:hAnsi="Times New Roman" w:eastAsia="仿宋_GB2312" w:cs="仿宋_GB2312"/>
          <w:bCs/>
          <w:smallCaps w:val="0"/>
          <w:sz w:val="32"/>
          <w:szCs w:val="32"/>
          <w:highlight w:val="none"/>
          <w:lang w:val="en-US" w:eastAsia="zh-CN"/>
        </w:rPr>
        <w:t>2024年11月5日17时</w:t>
      </w:r>
      <w:r>
        <w:rPr>
          <w:rFonts w:hint="eastAsia" w:ascii="Times New Roman" w:hAnsi="Times New Roman" w:eastAsia="仿宋_GB2312" w:cs="仿宋_GB2312"/>
          <w:bCs/>
          <w:smallCaps w:val="0"/>
          <w:sz w:val="32"/>
          <w:szCs w:val="32"/>
          <w:highlight w:val="none"/>
        </w:rPr>
        <w:t>前进行统一答疑。</w:t>
      </w:r>
    </w:p>
    <w:p w14:paraId="60D2616D">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（三）投标人在开标现场递交加盖投标</w:t>
      </w:r>
      <w:r>
        <w:rPr>
          <w:rFonts w:hint="eastAsia" w:ascii="Times New Roman" w:hAnsi="Times New Roman" w:eastAsia="仿宋_GB2312" w:cs="仿宋_GB2312"/>
          <w:bCs/>
          <w:smallCaps w:val="0"/>
          <w:sz w:val="32"/>
          <w:szCs w:val="32"/>
          <w:highlight w:val="none"/>
          <w:lang w:val="en-US" w:eastAsia="zh-CN"/>
        </w:rPr>
        <w:t>人</w:t>
      </w:r>
      <w:r>
        <w:rPr>
          <w:rFonts w:hint="eastAsia" w:ascii="Times New Roman" w:hAnsi="Times New Roman" w:eastAsia="仿宋_GB2312" w:cs="仿宋_GB2312"/>
          <w:bCs/>
          <w:smallCaps w:val="0"/>
          <w:sz w:val="32"/>
          <w:szCs w:val="32"/>
          <w:highlight w:val="none"/>
        </w:rPr>
        <w:t>公司公章并密封</w:t>
      </w:r>
      <w:r>
        <w:rPr>
          <w:rFonts w:hint="eastAsia" w:ascii="Times New Roman" w:hAnsi="Times New Roman" w:eastAsia="仿宋_GB2312" w:cs="仿宋_GB2312"/>
          <w:bCs/>
          <w:smallCaps w:val="0"/>
          <w:sz w:val="32"/>
          <w:szCs w:val="32"/>
          <w:highlight w:val="none"/>
          <w:lang w:val="en-US" w:eastAsia="zh-CN"/>
        </w:rPr>
        <w:t>的，</w:t>
      </w:r>
      <w:r>
        <w:rPr>
          <w:rFonts w:hint="eastAsia" w:ascii="Times New Roman" w:hAnsi="Times New Roman" w:eastAsia="仿宋_GB2312" w:cs="仿宋_GB2312"/>
          <w:bCs/>
          <w:smallCaps w:val="0"/>
          <w:sz w:val="32"/>
          <w:szCs w:val="32"/>
          <w:highlight w:val="none"/>
        </w:rPr>
        <w:t>以人民币为报价单位的报价表，包括对应</w:t>
      </w:r>
      <w:r>
        <w:rPr>
          <w:rFonts w:hint="eastAsia" w:ascii="Times New Roman" w:hAnsi="Times New Roman" w:eastAsia="仿宋_GB2312" w:cs="仿宋_GB2312"/>
          <w:bCs/>
          <w:smallCaps w:val="0"/>
          <w:sz w:val="32"/>
          <w:szCs w:val="32"/>
          <w:highlight w:val="none"/>
          <w:lang w:val="en-US" w:eastAsia="zh-CN"/>
        </w:rPr>
        <w:t>价格。投标人提出的报价应严格按照本文件“第四章 投标文件格式 格式6 服务项目报价单”。</w:t>
      </w:r>
    </w:p>
    <w:p w14:paraId="6E0EA675">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（四）定标完成后，招标人将在公司官网</w:t>
      </w:r>
      <w:r>
        <w:rPr>
          <w:rFonts w:hint="default" w:ascii="Times New Roman" w:hAnsi="Times New Roman" w:eastAsia="仿宋_GB2312" w:cs="Times New Roman"/>
          <w:bCs/>
          <w:smallCaps w:val="0"/>
          <w:sz w:val="32"/>
          <w:szCs w:val="32"/>
          <w:highlight w:val="none"/>
        </w:rPr>
        <w:t>（www.plhr.cn）</w:t>
      </w:r>
      <w:r>
        <w:rPr>
          <w:rFonts w:hint="eastAsia" w:ascii="Times New Roman" w:hAnsi="Times New Roman" w:eastAsia="仿宋_GB2312" w:cs="仿宋_GB2312"/>
          <w:bCs/>
          <w:smallCaps w:val="0"/>
          <w:sz w:val="32"/>
          <w:szCs w:val="32"/>
          <w:highlight w:val="none"/>
          <w:lang w:val="en-US" w:eastAsia="zh-CN"/>
        </w:rPr>
        <w:t>及深圳阳光采购平台</w:t>
      </w:r>
      <w:r>
        <w:rPr>
          <w:rFonts w:hint="eastAsia" w:ascii="Times New Roman" w:hAnsi="Times New Roman" w:eastAsia="仿宋_GB2312" w:cs="仿宋_GB2312"/>
          <w:bCs/>
          <w:smallCaps w:val="0"/>
          <w:sz w:val="32"/>
          <w:szCs w:val="32"/>
          <w:highlight w:val="none"/>
        </w:rPr>
        <w:t>发布预中标结果公示，公示期为3个</w:t>
      </w:r>
      <w:r>
        <w:rPr>
          <w:rFonts w:hint="eastAsia" w:ascii="Times New Roman" w:hAnsi="Times New Roman" w:eastAsia="仿宋_GB2312" w:cs="仿宋_GB2312"/>
          <w:bCs/>
          <w:smallCaps w:val="0"/>
          <w:sz w:val="32"/>
          <w:szCs w:val="32"/>
          <w:highlight w:val="none"/>
          <w:lang w:val="en-US" w:eastAsia="zh-CN"/>
        </w:rPr>
        <w:t>工作</w:t>
      </w:r>
      <w:r>
        <w:rPr>
          <w:rFonts w:hint="eastAsia" w:ascii="Times New Roman" w:hAnsi="Times New Roman" w:eastAsia="仿宋_GB2312" w:cs="仿宋_GB2312"/>
          <w:bCs/>
          <w:smallCaps w:val="0"/>
          <w:sz w:val="32"/>
          <w:szCs w:val="32"/>
          <w:highlight w:val="none"/>
        </w:rPr>
        <w:t>日。公示期结束无异议的，向中标人发放《中标通知书》。公示期内如有质疑，需书面实名向招标人提出并提交随附证据。招标人对电子邮件、口头形式提出或无实际证据的质疑不予受理。经招标人审定存在恶意质疑或投诉的，三年内不得参与招标人项目招标。</w:t>
      </w:r>
    </w:p>
    <w:p w14:paraId="59FA45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五）若接受邀请、递交投标文件或投标文件符合性审查阶段中任一阶段的有效投标人数量不足3家，招标人有权根据经营管理需要面向不特定社会公众实施公开招标，如二次招标有效投标人仍不足3家的，招标人将根据经营管理需要变更采购方式为竞争性谈判</w:t>
      </w:r>
      <w:r>
        <w:rPr>
          <w:rFonts w:hint="eastAsia" w:ascii="Times New Roman" w:hAnsi="Times New Roman" w:eastAsia="仿宋_GB2312" w:cs="仿宋_GB2312"/>
          <w:bCs/>
          <w:smallCaps w:val="0"/>
          <w:sz w:val="32"/>
          <w:szCs w:val="32"/>
          <w:highlight w:val="none"/>
          <w:lang w:val="en-US" w:eastAsia="zh-CN"/>
        </w:rPr>
        <w:t>/单一来源采购谈判</w:t>
      </w:r>
      <w:r>
        <w:rPr>
          <w:rFonts w:hint="eastAsia" w:ascii="Times New Roman" w:hAnsi="Times New Roman" w:eastAsia="仿宋_GB2312" w:cs="仿宋_GB2312"/>
          <w:bCs/>
          <w:smallCaps w:val="0"/>
          <w:sz w:val="32"/>
          <w:szCs w:val="32"/>
          <w:highlight w:val="none"/>
        </w:rPr>
        <w:t>。前述各阶段已经作出有效响应的投标文件可以直接适用于竞争性谈判</w:t>
      </w:r>
      <w:r>
        <w:rPr>
          <w:rFonts w:hint="eastAsia" w:ascii="Times New Roman" w:hAnsi="Times New Roman" w:eastAsia="仿宋_GB2312" w:cs="仿宋_GB2312"/>
          <w:bCs/>
          <w:smallCaps w:val="0"/>
          <w:sz w:val="32"/>
          <w:szCs w:val="32"/>
          <w:highlight w:val="none"/>
          <w:lang w:val="en-US" w:eastAsia="zh-CN"/>
        </w:rPr>
        <w:t>/单一来源采购谈判</w:t>
      </w:r>
      <w:r>
        <w:rPr>
          <w:rFonts w:hint="eastAsia" w:ascii="Times New Roman" w:hAnsi="Times New Roman" w:eastAsia="仿宋_GB2312" w:cs="仿宋_GB2312"/>
          <w:bCs/>
          <w:smallCaps w:val="0"/>
          <w:sz w:val="32"/>
          <w:szCs w:val="32"/>
          <w:highlight w:val="none"/>
        </w:rPr>
        <w:t>。</w:t>
      </w:r>
    </w:p>
    <w:p w14:paraId="14DDEC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招标人不承担因招标失败给投标人造成的损失。</w:t>
      </w:r>
    </w:p>
    <w:p w14:paraId="1D4B00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（六）本项目采用综合评标法，招标人不承诺投标价格最低的投标人中标。</w:t>
      </w:r>
    </w:p>
    <w:p w14:paraId="6F16D3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（七）中标方应在接到招标人电话通知后3个工作日内到招标人地址领取中标通知书，若逾期未领取的，视为自动放弃中标资格，项目重新招标，自动放弃的投标方不得再次参加本项目投标。</w:t>
      </w:r>
    </w:p>
    <w:p w14:paraId="075698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（八）本项目不设置投标保证金及履约保证金，但招标人可以根据实际经营管理需要在定标完成后就合同条款、补充协议的订立与中标人进行协商以获得更有利于招标人经营管理的服务或价格。</w:t>
      </w:r>
    </w:p>
    <w:p w14:paraId="324352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（九）投标人必须接受招标人对本项目的全部招标、谈判方法。招标人对投标人未中标的结果不负有解释义务，不退还投标文件，且不承担投标方因投标产生的任何费用或损失。</w:t>
      </w:r>
    </w:p>
    <w:p w14:paraId="464451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（十）投标人有义务在整个招标工作开展期间自行留意招标人官方网站</w:t>
      </w:r>
      <w:r>
        <w:rPr>
          <w:rFonts w:hint="default" w:ascii="Times New Roman" w:hAnsi="Times New Roman" w:eastAsia="仿宋_GB2312" w:cs="Times New Roman"/>
          <w:bCs/>
          <w:smallCaps w:val="0"/>
          <w:sz w:val="32"/>
          <w:szCs w:val="32"/>
          <w:highlight w:val="none"/>
        </w:rPr>
        <w:t>（www.plhr.cn）</w:t>
      </w:r>
      <w:r>
        <w:rPr>
          <w:rFonts w:hint="eastAsia" w:ascii="Times New Roman" w:hAnsi="Times New Roman" w:eastAsia="仿宋_GB2312" w:cs="仿宋_GB2312"/>
          <w:bCs/>
          <w:smallCaps w:val="0"/>
          <w:sz w:val="32"/>
          <w:szCs w:val="32"/>
          <w:highlight w:val="none"/>
        </w:rPr>
        <w:t>发布的公告通知，所有在该网站发布的公告、通知均视为有效送达。因投标人疏于浏览而导致的不利后果由投标人自行承担。</w:t>
      </w:r>
    </w:p>
    <w:p w14:paraId="629084ED">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5" w:name="_Toc4982"/>
      <w:r>
        <w:rPr>
          <w:rFonts w:hint="eastAsia" w:ascii="Times New Roman" w:hAnsi="Times New Roman" w:eastAsia="黑体" w:cs="黑体"/>
          <w:b w:val="0"/>
          <w:smallCaps w:val="0"/>
          <w:sz w:val="32"/>
          <w:szCs w:val="32"/>
          <w:highlight w:val="none"/>
          <w:lang w:val="en-US" w:eastAsia="zh-CN"/>
        </w:rPr>
        <w:t>九</w:t>
      </w:r>
      <w:r>
        <w:rPr>
          <w:rFonts w:hint="eastAsia" w:ascii="Times New Roman" w:hAnsi="Times New Roman" w:eastAsia="黑体" w:cs="黑体"/>
          <w:b w:val="0"/>
          <w:smallCaps w:val="0"/>
          <w:sz w:val="32"/>
          <w:szCs w:val="32"/>
          <w:highlight w:val="none"/>
        </w:rPr>
        <w:t>、投标文件作废</w:t>
      </w:r>
      <w:bookmarkEnd w:id="25"/>
    </w:p>
    <w:p w14:paraId="73E343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投标人在投标过程中存在以下任一行为的，投标文件作废，取消投标资格：</w:t>
      </w:r>
    </w:p>
    <w:p w14:paraId="213F92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一</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未按照投标邀请函示要求提交答复函、报名表及随附材料；</w:t>
      </w:r>
    </w:p>
    <w:p w14:paraId="6686BB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二</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投标人在投标、评标、定标期间存在企图影响招标结果、泄密、违反《</w:t>
      </w:r>
      <w:r>
        <w:rPr>
          <w:rFonts w:hint="eastAsia" w:ascii="Times New Roman" w:hAnsi="Times New Roman" w:eastAsia="仿宋_GB2312" w:cs="仿宋_GB2312"/>
          <w:bCs/>
          <w:smallCaps w:val="0"/>
          <w:sz w:val="32"/>
          <w:szCs w:val="32"/>
          <w:highlight w:val="none"/>
          <w:lang w:val="en-US" w:eastAsia="zh-CN"/>
        </w:rPr>
        <w:t>廉洁</w:t>
      </w:r>
      <w:r>
        <w:rPr>
          <w:rFonts w:hint="eastAsia" w:ascii="Times New Roman" w:hAnsi="Times New Roman" w:eastAsia="仿宋_GB2312" w:cs="仿宋_GB2312"/>
          <w:bCs/>
          <w:smallCaps w:val="0"/>
          <w:sz w:val="32"/>
          <w:szCs w:val="32"/>
          <w:highlight w:val="none"/>
        </w:rPr>
        <w:t>承诺函》函示内容等不公平竞争行为；</w:t>
      </w:r>
    </w:p>
    <w:p w14:paraId="5104D0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三</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未按照招标文件要求制作投标文件；</w:t>
      </w:r>
    </w:p>
    <w:p w14:paraId="738D73C7">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四</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未经招标方同意擅自改动招标文件内容；</w:t>
      </w:r>
    </w:p>
    <w:p w14:paraId="728A7E78">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五</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投标文件递交超过截止时限或未能递交投标文件；</w:t>
      </w:r>
    </w:p>
    <w:p w14:paraId="47817CA1">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六</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在邀请投标及后续谈判的任意环节中提供虚假材料及信息；</w:t>
      </w:r>
    </w:p>
    <w:p w14:paraId="024C1996">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七</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本文件中规定的其它按废标处理的情形。</w:t>
      </w:r>
    </w:p>
    <w:p w14:paraId="1D28C06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6" w:name="_Toc5207"/>
      <w:r>
        <w:rPr>
          <w:rFonts w:hint="eastAsia" w:ascii="Times New Roman" w:hAnsi="Times New Roman" w:eastAsia="黑体" w:cs="黑体"/>
          <w:b w:val="0"/>
          <w:smallCaps w:val="0"/>
          <w:sz w:val="32"/>
          <w:szCs w:val="32"/>
          <w:highlight w:val="none"/>
          <w:lang w:val="en-US" w:eastAsia="zh-CN"/>
        </w:rPr>
        <w:t>十</w:t>
      </w:r>
      <w:r>
        <w:rPr>
          <w:rFonts w:hint="eastAsia" w:ascii="Times New Roman" w:hAnsi="Times New Roman" w:eastAsia="黑体" w:cs="黑体"/>
          <w:b w:val="0"/>
          <w:smallCaps w:val="0"/>
          <w:sz w:val="32"/>
          <w:szCs w:val="32"/>
          <w:highlight w:val="none"/>
        </w:rPr>
        <w:t>、其他要求</w:t>
      </w:r>
      <w:bookmarkEnd w:id="26"/>
    </w:p>
    <w:p w14:paraId="325EF8E8">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一）</w:t>
      </w:r>
      <w:r>
        <w:rPr>
          <w:rFonts w:hint="eastAsia" w:ascii="Times New Roman" w:hAnsi="Times New Roman" w:eastAsia="仿宋_GB2312" w:cs="仿宋_GB2312"/>
          <w:bCs/>
          <w:smallCaps w:val="0"/>
          <w:sz w:val="32"/>
          <w:szCs w:val="32"/>
          <w:highlight w:val="none"/>
        </w:rPr>
        <w:t>投标人应逐项阅读招标文件的全部要求，根据投标人真实情况以审慎、诚信原则提交投标文件。如投标人编制的投标文件不能响应和满足招标文件及项目要求，该投标文件将被视为无效，由此引起的不利后果由投标人自行承担；</w:t>
      </w:r>
    </w:p>
    <w:p w14:paraId="34FB306E">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二）</w:t>
      </w:r>
      <w:r>
        <w:rPr>
          <w:rFonts w:hint="eastAsia" w:ascii="Times New Roman" w:hAnsi="Times New Roman" w:eastAsia="仿宋_GB2312" w:cs="仿宋_GB2312"/>
          <w:bCs/>
          <w:smallCaps w:val="0"/>
          <w:sz w:val="32"/>
          <w:szCs w:val="32"/>
          <w:highlight w:val="none"/>
        </w:rPr>
        <w:t>对恶意投标、中标后不能按照本招标文件“第二部分 招标文件 第三章 合同条款”要求的服务标准提供服务者，招标人有权即时停止履行合同，同时取消投标人供应商资格。对招标人造成实际经济或商誉损失的，招标人保留起诉、索赔等正当权利。</w:t>
      </w:r>
    </w:p>
    <w:p w14:paraId="1B2BBF95">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三）</w:t>
      </w:r>
      <w:r>
        <w:rPr>
          <w:rFonts w:hint="eastAsia" w:ascii="Times New Roman" w:hAnsi="Times New Roman" w:eastAsia="仿宋_GB2312" w:cs="仿宋_GB2312"/>
          <w:bCs/>
          <w:smallCaps w:val="0"/>
          <w:sz w:val="32"/>
          <w:szCs w:val="32"/>
          <w:highlight w:val="none"/>
        </w:rPr>
        <w:t>不论投标结果如何，投标人的投标文件均不退回，且不对未中标单位作任何解释。投标人因投标产生的一切费用不管投标结果如何，均由投标人承担。</w:t>
      </w:r>
    </w:p>
    <w:p w14:paraId="17B7E18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四）</w:t>
      </w:r>
      <w:r>
        <w:rPr>
          <w:rFonts w:hint="eastAsia" w:ascii="Times New Roman" w:hAnsi="Times New Roman" w:eastAsia="仿宋_GB2312" w:cs="仿宋_GB2312"/>
          <w:bCs/>
          <w:smallCaps w:val="0"/>
          <w:sz w:val="32"/>
          <w:szCs w:val="32"/>
          <w:highlight w:val="none"/>
        </w:rPr>
        <w:t>投标人不得相互串通投标报价，不得排挤其他投标人的公平竞争。一经发现违规行为，招标人有权立即终止采购活动并取消违反规定的投标人资格。</w:t>
      </w:r>
    </w:p>
    <w:p w14:paraId="73DC6F7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7" w:name="_Toc854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一</w:t>
      </w:r>
      <w:r>
        <w:rPr>
          <w:rFonts w:hint="eastAsia" w:ascii="Times New Roman" w:hAnsi="Times New Roman" w:eastAsia="黑体" w:cs="黑体"/>
          <w:b w:val="0"/>
          <w:smallCaps w:val="0"/>
          <w:sz w:val="32"/>
          <w:szCs w:val="32"/>
          <w:highlight w:val="none"/>
        </w:rPr>
        <w:t>、投标文件递交</w:t>
      </w:r>
      <w:bookmarkEnd w:id="27"/>
    </w:p>
    <w:p w14:paraId="4A5090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递交方式</w:t>
      </w:r>
    </w:p>
    <w:p w14:paraId="496D359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rPr>
        <w:t>现场递交</w:t>
      </w:r>
      <w:r>
        <w:rPr>
          <w:rFonts w:hint="eastAsia" w:ascii="Times New Roman" w:hAnsi="Times New Roman" w:eastAsia="仿宋_GB2312" w:cs="仿宋_GB2312"/>
          <w:b w:val="0"/>
          <w:bCs/>
          <w:smallCaps w:val="0"/>
          <w:sz w:val="32"/>
          <w:szCs w:val="32"/>
          <w:highlight w:val="none"/>
          <w:lang w:eastAsia="zh-CN"/>
        </w:rPr>
        <w:t>。</w:t>
      </w:r>
    </w:p>
    <w:p w14:paraId="48D23BF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递交</w:t>
      </w:r>
      <w:r>
        <w:rPr>
          <w:rFonts w:hint="eastAsia" w:ascii="Times New Roman" w:hAnsi="Times New Roman" w:eastAsia="楷体_GB2312" w:cs="楷体_GB2312"/>
          <w:b w:val="0"/>
          <w:bCs/>
          <w:smallCaps w:val="0"/>
          <w:sz w:val="32"/>
          <w:szCs w:val="32"/>
          <w:highlight w:val="none"/>
          <w:lang w:val="en-US" w:eastAsia="zh-CN"/>
        </w:rPr>
        <w:t>截止时间</w:t>
      </w:r>
    </w:p>
    <w:p w14:paraId="0867A86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kern w:val="0"/>
          <w:sz w:val="32"/>
          <w:szCs w:val="32"/>
          <w:highlight w:val="none"/>
          <w:lang w:val="en-US" w:eastAsia="zh-CN" w:bidi="ar-SA"/>
        </w:rPr>
        <w:t>2024年11月20日9时。</w:t>
      </w:r>
    </w:p>
    <w:p w14:paraId="7C9E892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三）</w:t>
      </w:r>
      <w:r>
        <w:rPr>
          <w:rFonts w:hint="eastAsia" w:ascii="Times New Roman" w:hAnsi="Times New Roman" w:eastAsia="楷体_GB2312" w:cs="楷体_GB2312"/>
          <w:b w:val="0"/>
          <w:bCs/>
          <w:smallCaps w:val="0"/>
          <w:sz w:val="32"/>
          <w:szCs w:val="32"/>
          <w:highlight w:val="none"/>
          <w:lang w:eastAsia="zh-CN"/>
        </w:rPr>
        <w:t>递交地址</w:t>
      </w:r>
    </w:p>
    <w:p w14:paraId="4A27301F">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lang w:eastAsia="zh-CN"/>
        </w:rPr>
        <w:t>深圳市罗湖区笋岗街道田心社区红岭北路2088号招商开元中心A座13层（中国人保金融大厦</w:t>
      </w:r>
      <w:r>
        <w:rPr>
          <w:rFonts w:hint="eastAsia" w:ascii="Times New Roman" w:hAnsi="Times New Roman" w:eastAsia="仿宋_GB2312" w:cs="仿宋_GB2312"/>
          <w:b w:val="0"/>
          <w:bCs/>
          <w:smallCaps w:val="0"/>
          <w:sz w:val="32"/>
          <w:szCs w:val="32"/>
          <w:highlight w:val="none"/>
          <w:lang w:val="en-US" w:eastAsia="zh-CN"/>
        </w:rPr>
        <w:t>A座</w:t>
      </w:r>
      <w:r>
        <w:rPr>
          <w:rFonts w:hint="eastAsia" w:ascii="Times New Roman" w:hAnsi="Times New Roman" w:eastAsia="仿宋_GB2312" w:cs="仿宋_GB2312"/>
          <w:b w:val="0"/>
          <w:bCs/>
          <w:smallCaps w:val="0"/>
          <w:sz w:val="32"/>
          <w:szCs w:val="32"/>
          <w:highlight w:val="none"/>
          <w:lang w:eastAsia="zh-CN"/>
        </w:rPr>
        <w:t>13</w:t>
      </w:r>
      <w:r>
        <w:rPr>
          <w:rFonts w:hint="eastAsia" w:ascii="Times New Roman" w:hAnsi="Times New Roman" w:eastAsia="仿宋_GB2312" w:cs="仿宋_GB2312"/>
          <w:b w:val="0"/>
          <w:bCs/>
          <w:smallCaps w:val="0"/>
          <w:sz w:val="32"/>
          <w:szCs w:val="32"/>
          <w:highlight w:val="none"/>
          <w:lang w:val="en-US" w:eastAsia="zh-CN"/>
        </w:rPr>
        <w:t>层）深圳市鹏劳人力资源管理有限公司</w:t>
      </w:r>
    </w:p>
    <w:p w14:paraId="593CD3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四）</w:t>
      </w:r>
      <w:r>
        <w:rPr>
          <w:rFonts w:hint="eastAsia" w:ascii="Times New Roman" w:hAnsi="Times New Roman" w:eastAsia="楷体_GB2312" w:cs="楷体_GB2312"/>
          <w:b w:val="0"/>
          <w:bCs/>
          <w:smallCaps w:val="0"/>
          <w:sz w:val="32"/>
          <w:szCs w:val="32"/>
          <w:highlight w:val="none"/>
          <w:lang w:eastAsia="zh-CN"/>
        </w:rPr>
        <w:t>递交要求</w:t>
      </w:r>
    </w:p>
    <w:p w14:paraId="314E1109">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所有投标文件由投标人按照招标文件指定格式与方式逐一进场递交。</w:t>
      </w:r>
    </w:p>
    <w:p w14:paraId="056FA61A">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8" w:name="_Toc1821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二</w:t>
      </w:r>
      <w:r>
        <w:rPr>
          <w:rFonts w:hint="eastAsia" w:ascii="Times New Roman" w:hAnsi="Times New Roman" w:eastAsia="黑体" w:cs="黑体"/>
          <w:b w:val="0"/>
          <w:smallCaps w:val="0"/>
          <w:sz w:val="32"/>
          <w:szCs w:val="32"/>
          <w:highlight w:val="none"/>
        </w:rPr>
        <w:t>、开标</w:t>
      </w:r>
      <w:bookmarkEnd w:id="28"/>
    </w:p>
    <w:p w14:paraId="7B7A69F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rPr>
        <w:t>开标</w:t>
      </w:r>
      <w:r>
        <w:rPr>
          <w:rFonts w:hint="eastAsia" w:ascii="Times New Roman" w:hAnsi="Times New Roman" w:eastAsia="楷体_GB2312" w:cs="楷体_GB2312"/>
          <w:b w:val="0"/>
          <w:bCs/>
          <w:smallCaps w:val="0"/>
          <w:sz w:val="32"/>
          <w:szCs w:val="32"/>
          <w:highlight w:val="none"/>
          <w:lang w:val="en-US" w:eastAsia="zh-CN"/>
        </w:rPr>
        <w:t>方式</w:t>
      </w:r>
    </w:p>
    <w:p w14:paraId="4902399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rPr>
        <w:t>现场开标</w:t>
      </w:r>
      <w:r>
        <w:rPr>
          <w:rFonts w:hint="eastAsia" w:ascii="Times New Roman" w:hAnsi="Times New Roman" w:eastAsia="仿宋_GB2312" w:cs="仿宋_GB2312"/>
          <w:b w:val="0"/>
          <w:bCs/>
          <w:smallCaps w:val="0"/>
          <w:sz w:val="32"/>
          <w:szCs w:val="32"/>
          <w:highlight w:val="none"/>
          <w:lang w:eastAsia="zh-CN"/>
        </w:rPr>
        <w:t>。</w:t>
      </w:r>
    </w:p>
    <w:p w14:paraId="7479C3E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开标</w:t>
      </w:r>
      <w:r>
        <w:rPr>
          <w:rFonts w:hint="eastAsia" w:ascii="Times New Roman" w:hAnsi="Times New Roman" w:eastAsia="楷体_GB2312" w:cs="楷体_GB2312"/>
          <w:b w:val="0"/>
          <w:bCs/>
          <w:smallCaps w:val="0"/>
          <w:sz w:val="32"/>
          <w:szCs w:val="32"/>
          <w:highlight w:val="none"/>
          <w:lang w:val="en-US" w:eastAsia="zh-CN"/>
        </w:rPr>
        <w:t>时间</w:t>
      </w:r>
    </w:p>
    <w:p w14:paraId="1ADC5EB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kern w:val="0"/>
          <w:sz w:val="32"/>
          <w:szCs w:val="32"/>
          <w:highlight w:val="none"/>
          <w:lang w:val="en-US" w:eastAsia="zh-CN" w:bidi="ar-SA"/>
        </w:rPr>
        <w:t>2024年11月20日9时</w:t>
      </w:r>
      <w:r>
        <w:rPr>
          <w:rFonts w:hint="eastAsia" w:ascii="Times New Roman" w:hAnsi="Times New Roman" w:eastAsia="仿宋_GB2312" w:cs="仿宋_GB2312"/>
          <w:b w:val="0"/>
          <w:bCs/>
          <w:smallCaps w:val="0"/>
          <w:sz w:val="32"/>
          <w:szCs w:val="32"/>
          <w:highlight w:val="none"/>
          <w:lang w:val="en-US" w:eastAsia="zh-CN"/>
        </w:rPr>
        <w:t>30</w:t>
      </w:r>
      <w:r>
        <w:rPr>
          <w:rFonts w:hint="eastAsia" w:ascii="Times New Roman" w:hAnsi="Times New Roman" w:eastAsia="仿宋_GB2312" w:cs="仿宋_GB2312"/>
          <w:b w:val="0"/>
          <w:bCs/>
          <w:smallCaps w:val="0"/>
          <w:sz w:val="32"/>
          <w:szCs w:val="32"/>
          <w:highlight w:val="none"/>
        </w:rPr>
        <w:t>分</w:t>
      </w:r>
      <w:r>
        <w:rPr>
          <w:rFonts w:hint="eastAsia" w:ascii="Times New Roman" w:hAnsi="Times New Roman" w:eastAsia="仿宋_GB2312" w:cs="仿宋_GB2312"/>
          <w:b w:val="0"/>
          <w:bCs/>
          <w:smallCaps w:val="0"/>
          <w:sz w:val="32"/>
          <w:szCs w:val="32"/>
          <w:highlight w:val="none"/>
          <w:lang w:eastAsia="zh-CN"/>
        </w:rPr>
        <w:t>。</w:t>
      </w:r>
    </w:p>
    <w:p w14:paraId="26E2B1A7">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三）</w:t>
      </w:r>
      <w:r>
        <w:rPr>
          <w:rFonts w:hint="eastAsia" w:ascii="Times New Roman" w:hAnsi="Times New Roman" w:eastAsia="楷体_GB2312" w:cs="楷体_GB2312"/>
          <w:b w:val="0"/>
          <w:bCs/>
          <w:smallCaps w:val="0"/>
          <w:sz w:val="32"/>
          <w:szCs w:val="32"/>
          <w:highlight w:val="none"/>
          <w:lang w:eastAsia="zh-CN"/>
        </w:rPr>
        <w:t>开标地点</w:t>
      </w:r>
    </w:p>
    <w:p w14:paraId="6FF0C2A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深圳市罗湖区笋岗街道田心社区红岭北路2088号招商开元中心A座13层</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中国人保金融大厦</w:t>
      </w:r>
      <w:r>
        <w:rPr>
          <w:rFonts w:hint="eastAsia" w:ascii="Times New Roman" w:hAnsi="Times New Roman" w:eastAsia="仿宋_GB2312" w:cs="仿宋_GB2312"/>
          <w:bCs/>
          <w:smallCaps w:val="0"/>
          <w:sz w:val="32"/>
          <w:szCs w:val="32"/>
          <w:highlight w:val="none"/>
          <w:lang w:val="en-US" w:eastAsia="zh-CN"/>
        </w:rPr>
        <w:t>A座</w:t>
      </w:r>
      <w:r>
        <w:rPr>
          <w:rFonts w:hint="eastAsia" w:ascii="Times New Roman" w:hAnsi="Times New Roman" w:eastAsia="仿宋_GB2312" w:cs="仿宋_GB2312"/>
          <w:bCs/>
          <w:smallCaps w:val="0"/>
          <w:sz w:val="32"/>
          <w:szCs w:val="32"/>
          <w:highlight w:val="none"/>
        </w:rPr>
        <w:t>13</w:t>
      </w:r>
      <w:r>
        <w:rPr>
          <w:rFonts w:hint="eastAsia" w:ascii="Times New Roman" w:hAnsi="Times New Roman" w:eastAsia="仿宋_GB2312" w:cs="仿宋_GB2312"/>
          <w:bCs/>
          <w:smallCaps w:val="0"/>
          <w:sz w:val="32"/>
          <w:szCs w:val="32"/>
          <w:highlight w:val="none"/>
          <w:lang w:val="en-US" w:eastAsia="zh-CN"/>
        </w:rPr>
        <w:t>层）深圳市鹏劳人力资源管理有限公司</w:t>
      </w:r>
    </w:p>
    <w:p w14:paraId="6C4E15A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四）</w:t>
      </w:r>
      <w:r>
        <w:rPr>
          <w:rFonts w:hint="eastAsia" w:ascii="Times New Roman" w:hAnsi="Times New Roman" w:eastAsia="楷体_GB2312" w:cs="楷体_GB2312"/>
          <w:b w:val="0"/>
          <w:bCs/>
          <w:smallCaps w:val="0"/>
          <w:sz w:val="32"/>
          <w:szCs w:val="32"/>
          <w:highlight w:val="none"/>
          <w:lang w:eastAsia="zh-CN"/>
        </w:rPr>
        <w:t>开标程序</w:t>
      </w:r>
    </w:p>
    <w:p w14:paraId="04FE77E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1.</w:t>
      </w:r>
      <w:r>
        <w:rPr>
          <w:rFonts w:hint="eastAsia" w:ascii="仿宋_GB2312" w:hAnsi="仿宋_GB2312" w:eastAsia="仿宋_GB2312" w:cs="仿宋_GB2312"/>
          <w:b w:val="0"/>
          <w:bCs/>
          <w:smallCaps w:val="0"/>
          <w:sz w:val="32"/>
          <w:szCs w:val="32"/>
          <w:highlight w:val="none"/>
        </w:rPr>
        <w:t>招标人工作组进场；</w:t>
      </w:r>
    </w:p>
    <w:p w14:paraId="7E2F9C15">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2.</w:t>
      </w:r>
      <w:r>
        <w:rPr>
          <w:rFonts w:hint="eastAsia" w:ascii="仿宋_GB2312" w:hAnsi="仿宋_GB2312" w:eastAsia="仿宋_GB2312" w:cs="仿宋_GB2312"/>
          <w:b w:val="0"/>
          <w:bCs/>
          <w:smallCaps w:val="0"/>
          <w:sz w:val="32"/>
          <w:szCs w:val="32"/>
          <w:highlight w:val="none"/>
        </w:rPr>
        <w:t>招标人监督员、投标人代表检查投标文件密封情况并向工作组组长通报加密情况；</w:t>
      </w:r>
    </w:p>
    <w:p w14:paraId="5C00C1E0">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3.</w:t>
      </w:r>
      <w:r>
        <w:rPr>
          <w:rFonts w:hint="eastAsia" w:ascii="仿宋_GB2312" w:hAnsi="仿宋_GB2312" w:eastAsia="仿宋_GB2312" w:cs="仿宋_GB2312"/>
          <w:b w:val="0"/>
          <w:bCs/>
          <w:smallCaps w:val="0"/>
          <w:sz w:val="32"/>
          <w:szCs w:val="32"/>
          <w:highlight w:val="none"/>
        </w:rPr>
        <w:t>招标人工作组组长宣布开标；</w:t>
      </w:r>
    </w:p>
    <w:p w14:paraId="22E36383">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4.</w:t>
      </w:r>
      <w:r>
        <w:rPr>
          <w:rFonts w:hint="eastAsia" w:ascii="仿宋_GB2312" w:hAnsi="仿宋_GB2312" w:eastAsia="仿宋_GB2312" w:cs="仿宋_GB2312"/>
          <w:b w:val="0"/>
          <w:bCs/>
          <w:smallCaps w:val="0"/>
          <w:sz w:val="32"/>
          <w:szCs w:val="32"/>
          <w:highlight w:val="none"/>
        </w:rPr>
        <w:t>招标人工作组成员逐一拆开唱标信封，现场唱标并形成《开标记录表》；</w:t>
      </w:r>
    </w:p>
    <w:p w14:paraId="0AF51D77">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5.</w:t>
      </w:r>
      <w:r>
        <w:rPr>
          <w:rFonts w:hint="eastAsia" w:ascii="仿宋_GB2312" w:hAnsi="仿宋_GB2312" w:eastAsia="仿宋_GB2312" w:cs="仿宋_GB2312"/>
          <w:b w:val="0"/>
          <w:bCs/>
          <w:smallCaps w:val="0"/>
          <w:sz w:val="32"/>
          <w:szCs w:val="32"/>
          <w:highlight w:val="none"/>
        </w:rPr>
        <w:t>投标人代表确认开标记录，签字确认并离场。</w:t>
      </w:r>
    </w:p>
    <w:p w14:paraId="4887172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lang w:eastAsia="zh-CN"/>
        </w:rPr>
      </w:pPr>
      <w:r>
        <w:rPr>
          <w:rFonts w:hint="eastAsia" w:ascii="仿宋_GB2312" w:hAnsi="仿宋_GB2312" w:eastAsia="仿宋_GB2312" w:cs="仿宋_GB2312"/>
          <w:b w:val="0"/>
          <w:bCs/>
          <w:smallCaps w:val="0"/>
          <w:sz w:val="32"/>
          <w:szCs w:val="32"/>
          <w:highlight w:val="none"/>
          <w:lang w:eastAsia="zh-CN"/>
        </w:rPr>
        <w:t>（</w:t>
      </w:r>
      <w:r>
        <w:rPr>
          <w:rFonts w:hint="eastAsia" w:ascii="仿宋_GB2312" w:hAnsi="仿宋_GB2312" w:eastAsia="仿宋_GB2312" w:cs="仿宋_GB2312"/>
          <w:b w:val="0"/>
          <w:bCs/>
          <w:smallCaps w:val="0"/>
          <w:sz w:val="32"/>
          <w:szCs w:val="32"/>
          <w:highlight w:val="none"/>
          <w:lang w:val="en-US" w:eastAsia="zh-CN"/>
        </w:rPr>
        <w:t>五）</w:t>
      </w:r>
      <w:r>
        <w:rPr>
          <w:rFonts w:hint="eastAsia" w:ascii="仿宋_GB2312" w:hAnsi="仿宋_GB2312" w:eastAsia="仿宋_GB2312" w:cs="仿宋_GB2312"/>
          <w:b w:val="0"/>
          <w:bCs/>
          <w:smallCaps w:val="0"/>
          <w:sz w:val="32"/>
          <w:szCs w:val="32"/>
          <w:highlight w:val="none"/>
          <w:lang w:eastAsia="zh-CN"/>
        </w:rPr>
        <w:t>注意事项</w:t>
      </w:r>
    </w:p>
    <w:p w14:paraId="0D7ECA0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1.</w:t>
      </w:r>
      <w:r>
        <w:rPr>
          <w:rFonts w:hint="eastAsia" w:ascii="仿宋_GB2312" w:hAnsi="仿宋_GB2312" w:eastAsia="仿宋_GB2312" w:cs="仿宋_GB2312"/>
          <w:b w:val="0"/>
          <w:bCs/>
          <w:smallCaps w:val="0"/>
          <w:sz w:val="32"/>
          <w:szCs w:val="32"/>
          <w:highlight w:val="none"/>
        </w:rPr>
        <w:t>开标全程由投标人代表、招标人派员监督；</w:t>
      </w:r>
    </w:p>
    <w:p w14:paraId="67BE76D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2.</w:t>
      </w:r>
      <w:r>
        <w:rPr>
          <w:rFonts w:hint="eastAsia" w:ascii="仿宋_GB2312" w:hAnsi="仿宋_GB2312" w:eastAsia="仿宋_GB2312" w:cs="仿宋_GB2312"/>
          <w:b w:val="0"/>
          <w:bCs/>
          <w:smallCaps w:val="0"/>
          <w:sz w:val="32"/>
          <w:szCs w:val="32"/>
          <w:highlight w:val="none"/>
        </w:rPr>
        <w:t>开标会议全程录音录像；</w:t>
      </w:r>
    </w:p>
    <w:p w14:paraId="6BCD544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3.</w:t>
      </w:r>
      <w:r>
        <w:rPr>
          <w:rFonts w:hint="eastAsia" w:ascii="仿宋_GB2312" w:hAnsi="仿宋_GB2312" w:eastAsia="仿宋_GB2312" w:cs="仿宋_GB2312"/>
          <w:b w:val="0"/>
          <w:bCs/>
          <w:smallCaps w:val="0"/>
          <w:sz w:val="32"/>
          <w:szCs w:val="32"/>
          <w:highlight w:val="none"/>
        </w:rPr>
        <w:t>投</w:t>
      </w:r>
      <w:r>
        <w:rPr>
          <w:rFonts w:hint="eastAsia" w:ascii="Times New Roman" w:hAnsi="Times New Roman" w:eastAsia="仿宋_GB2312" w:cs="仿宋_GB2312"/>
          <w:b w:val="0"/>
          <w:bCs/>
          <w:smallCaps w:val="0"/>
          <w:sz w:val="32"/>
          <w:szCs w:val="32"/>
          <w:highlight w:val="none"/>
        </w:rPr>
        <w:t>标人代表因故未能到场，或到场后中途离场的，视同为投标人主动放弃监督权利且投标人对开标结果完全认可，投标人不得再就此提出质疑或投诉。</w:t>
      </w:r>
    </w:p>
    <w:p w14:paraId="1532C1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lang w:val="en-US" w:eastAsia="zh-CN"/>
        </w:rPr>
      </w:pPr>
      <w:r>
        <w:rPr>
          <w:rFonts w:hint="eastAsia" w:ascii="仿宋_GB2312" w:hAnsi="仿宋_GB2312" w:eastAsia="仿宋_GB2312" w:cs="仿宋_GB2312"/>
          <w:b w:val="0"/>
          <w:bCs/>
          <w:smallCaps w:val="0"/>
          <w:sz w:val="32"/>
          <w:szCs w:val="32"/>
          <w:highlight w:val="none"/>
          <w:lang w:val="en-US" w:eastAsia="zh-CN"/>
        </w:rPr>
        <w:t>4.实</w:t>
      </w:r>
      <w:r>
        <w:rPr>
          <w:rFonts w:hint="eastAsia" w:ascii="Times New Roman" w:hAnsi="Times New Roman" w:eastAsia="仿宋_GB2312" w:cs="仿宋_GB2312"/>
          <w:b w:val="0"/>
          <w:bCs/>
          <w:smallCaps w:val="0"/>
          <w:sz w:val="32"/>
          <w:szCs w:val="32"/>
          <w:highlight w:val="none"/>
          <w:lang w:val="en-US" w:eastAsia="zh-CN"/>
        </w:rPr>
        <w:t>质性响应投标人少于3家的，不予开标，根据招标人经营管理需要转其他采购方式。</w:t>
      </w:r>
    </w:p>
    <w:p w14:paraId="577EB168">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9" w:name="_Toc15191"/>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三</w:t>
      </w:r>
      <w:r>
        <w:rPr>
          <w:rFonts w:hint="eastAsia" w:ascii="Times New Roman" w:hAnsi="Times New Roman" w:eastAsia="黑体" w:cs="黑体"/>
          <w:b w:val="0"/>
          <w:smallCaps w:val="0"/>
          <w:sz w:val="32"/>
          <w:szCs w:val="32"/>
          <w:highlight w:val="none"/>
        </w:rPr>
        <w:t>、评标</w:t>
      </w:r>
      <w:bookmarkEnd w:id="29"/>
    </w:p>
    <w:p w14:paraId="73B12F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评标方法</w:t>
      </w:r>
    </w:p>
    <w:p w14:paraId="3E7610D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本项目采用综合评标法。</w:t>
      </w:r>
    </w:p>
    <w:p w14:paraId="76D6B31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评标细则及标准</w:t>
      </w:r>
    </w:p>
    <w:p w14:paraId="77B6210F">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 w:cs="仿宋"/>
          <w:b w:val="0"/>
          <w:bCs/>
          <w:smallCaps w:val="0"/>
          <w:sz w:val="32"/>
          <w:szCs w:val="32"/>
          <w:highlight w:val="none"/>
        </w:rPr>
      </w:pPr>
      <w:r>
        <w:rPr>
          <w:rFonts w:hint="eastAsia" w:ascii="Times New Roman" w:hAnsi="Times New Roman" w:eastAsia="仿宋_GB2312" w:cs="仿宋_GB2312"/>
          <w:b w:val="0"/>
          <w:bCs/>
          <w:smallCaps w:val="0"/>
          <w:sz w:val="32"/>
          <w:szCs w:val="32"/>
          <w:highlight w:val="none"/>
          <w:lang w:eastAsia="zh-CN"/>
        </w:rPr>
        <w:t>（</w:t>
      </w:r>
      <w:r>
        <w:rPr>
          <w:rFonts w:hint="eastAsia" w:ascii="Times New Roman" w:hAnsi="Times New Roman" w:eastAsia="仿宋_GB2312" w:cs="仿宋_GB2312"/>
          <w:b w:val="0"/>
          <w:bCs/>
          <w:smallCaps w:val="0"/>
          <w:sz w:val="32"/>
          <w:szCs w:val="32"/>
          <w:highlight w:val="none"/>
        </w:rPr>
        <w:t>见“</w:t>
      </w:r>
      <w:r>
        <w:rPr>
          <w:rFonts w:hint="eastAsia" w:ascii="Times New Roman" w:hAnsi="Times New Roman" w:eastAsia="仿宋_GB2312" w:cs="仿宋_GB2312"/>
          <w:b w:val="0"/>
          <w:bCs/>
          <w:smallCaps w:val="0"/>
          <w:sz w:val="32"/>
          <w:szCs w:val="32"/>
          <w:highlight w:val="none"/>
          <w:lang w:eastAsia="zh-CN"/>
        </w:rPr>
        <w:t>招标文件</w:t>
      </w:r>
      <w:r>
        <w:rPr>
          <w:rFonts w:hint="eastAsia" w:ascii="Times New Roman" w:hAnsi="Times New Roman" w:eastAsia="仿宋_GB2312" w:cs="仿宋_GB2312"/>
          <w:b w:val="0"/>
          <w:bCs/>
          <w:smallCaps w:val="0"/>
          <w:sz w:val="32"/>
          <w:szCs w:val="32"/>
          <w:highlight w:val="none"/>
        </w:rPr>
        <w:t xml:space="preserve"> 第二章 评标程序及标准”）</w:t>
      </w:r>
    </w:p>
    <w:p w14:paraId="0487FD22">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0" w:name="_Toc2490"/>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四</w:t>
      </w:r>
      <w:r>
        <w:rPr>
          <w:rFonts w:hint="eastAsia" w:ascii="Times New Roman" w:hAnsi="Times New Roman" w:eastAsia="黑体" w:cs="黑体"/>
          <w:b w:val="0"/>
          <w:smallCaps w:val="0"/>
          <w:sz w:val="32"/>
          <w:szCs w:val="32"/>
          <w:highlight w:val="none"/>
        </w:rPr>
        <w:t>、定标</w:t>
      </w:r>
      <w:bookmarkEnd w:id="30"/>
    </w:p>
    <w:p w14:paraId="4A8D3557">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仿宋_GB2312" w:cs="仿宋_GB2312"/>
          <w:b w:val="0"/>
          <w:bCs/>
          <w:smallCaps w:val="0"/>
          <w:sz w:val="32"/>
          <w:szCs w:val="32"/>
          <w:highlight w:val="none"/>
        </w:rPr>
      </w:pPr>
      <w:bookmarkStart w:id="31" w:name="_Toc331"/>
      <w:bookmarkStart w:id="32" w:name="_Toc19313"/>
      <w:bookmarkStart w:id="33" w:name="_Toc3624"/>
      <w:r>
        <w:rPr>
          <w:rFonts w:hint="eastAsia" w:ascii="Times New Roman" w:hAnsi="Times New Roman" w:eastAsia="仿宋_GB2312" w:cs="仿宋_GB2312"/>
          <w:b w:val="0"/>
          <w:bCs/>
          <w:smallCaps w:val="0"/>
          <w:sz w:val="32"/>
          <w:szCs w:val="32"/>
          <w:highlight w:val="none"/>
        </w:rPr>
        <w:t>由招标人招标决策委员会依据评标报告综合评价定标。</w:t>
      </w:r>
      <w:bookmarkEnd w:id="31"/>
      <w:bookmarkEnd w:id="32"/>
      <w:bookmarkEnd w:id="33"/>
    </w:p>
    <w:p w14:paraId="29CEB57F">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4" w:name="_Toc13978"/>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五</w:t>
      </w:r>
      <w:r>
        <w:rPr>
          <w:rFonts w:hint="eastAsia" w:ascii="Times New Roman" w:hAnsi="Times New Roman" w:eastAsia="黑体" w:cs="黑体"/>
          <w:b w:val="0"/>
          <w:smallCaps w:val="0"/>
          <w:sz w:val="32"/>
          <w:szCs w:val="32"/>
          <w:highlight w:val="none"/>
        </w:rPr>
        <w:t>、结算方式</w:t>
      </w:r>
      <w:bookmarkEnd w:id="34"/>
    </w:p>
    <w:p w14:paraId="137DE4BA">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 w:cs="仿宋"/>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按本文件“</w:t>
      </w:r>
      <w:r>
        <w:rPr>
          <w:rFonts w:hint="eastAsia" w:ascii="Times New Roman" w:hAnsi="Times New Roman" w:eastAsia="仿宋_GB2312" w:cs="仿宋_GB2312"/>
          <w:b w:val="0"/>
          <w:bCs/>
          <w:smallCaps w:val="0"/>
          <w:sz w:val="32"/>
          <w:szCs w:val="32"/>
          <w:highlight w:val="none"/>
          <w:lang w:eastAsia="zh-CN"/>
        </w:rPr>
        <w:t>招标文件</w:t>
      </w:r>
      <w:r>
        <w:rPr>
          <w:rFonts w:hint="eastAsia" w:ascii="Times New Roman" w:hAnsi="Times New Roman" w:eastAsia="仿宋_GB2312" w:cs="仿宋_GB2312"/>
          <w:b w:val="0"/>
          <w:bCs/>
          <w:smallCaps w:val="0"/>
          <w:sz w:val="32"/>
          <w:szCs w:val="32"/>
          <w:highlight w:val="none"/>
        </w:rPr>
        <w:t xml:space="preserve"> 第三章 合同条款”约定的结算方式执行。</w:t>
      </w:r>
    </w:p>
    <w:p w14:paraId="249807CA">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5" w:name="_Toc3261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六</w:t>
      </w:r>
      <w:r>
        <w:rPr>
          <w:rFonts w:hint="eastAsia" w:ascii="Times New Roman" w:hAnsi="Times New Roman" w:eastAsia="黑体" w:cs="黑体"/>
          <w:b w:val="0"/>
          <w:smallCaps w:val="0"/>
          <w:sz w:val="32"/>
          <w:szCs w:val="32"/>
          <w:highlight w:val="none"/>
        </w:rPr>
        <w:t>、解释权</w:t>
      </w:r>
      <w:bookmarkEnd w:id="35"/>
    </w:p>
    <w:p w14:paraId="6232DC18">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招标文件解释权归深圳市鹏劳人力资源管理有限公司招标决策委员会所有。</w:t>
      </w:r>
    </w:p>
    <w:p w14:paraId="3000DDD6">
      <w:pPr>
        <w:pStyle w:val="3"/>
        <w:pageBreakBefore w:val="0"/>
        <w:kinsoku/>
        <w:wordWrap/>
        <w:overflowPunct/>
        <w:topLinePunct w:val="0"/>
        <w:autoSpaceDE/>
        <w:autoSpaceDN/>
        <w:bidi w:val="0"/>
        <w:spacing w:line="560" w:lineRule="exact"/>
        <w:jc w:val="center"/>
        <w:textAlignment w:val="auto"/>
        <w:rPr>
          <w:rFonts w:hint="eastAsia" w:ascii="Times New Roman" w:hAnsi="Times New Roman" w:eastAsia="黑体" w:cs="黑体"/>
          <w:b w:val="0"/>
          <w:bCs/>
          <w:smallCaps w:val="0"/>
          <w:sz w:val="32"/>
          <w:szCs w:val="32"/>
          <w:highlight w:val="none"/>
        </w:rPr>
      </w:pPr>
      <w:bookmarkStart w:id="36" w:name="_Toc25565"/>
      <w:bookmarkStart w:id="37" w:name="_Toc29843"/>
      <w:r>
        <w:rPr>
          <w:rFonts w:hint="eastAsia" w:ascii="Times New Roman" w:hAnsi="Times New Roman" w:eastAsia="黑体" w:cs="黑体"/>
          <w:b w:val="0"/>
          <w:bCs/>
          <w:smallCaps w:val="0"/>
          <w:sz w:val="32"/>
          <w:szCs w:val="32"/>
          <w:highlight w:val="none"/>
        </w:rPr>
        <w:t xml:space="preserve">第二章 </w:t>
      </w:r>
      <w:bookmarkEnd w:id="36"/>
      <w:r>
        <w:rPr>
          <w:rFonts w:hint="eastAsia" w:ascii="Times New Roman" w:hAnsi="Times New Roman" w:eastAsia="黑体" w:cs="黑体"/>
          <w:b w:val="0"/>
          <w:bCs/>
          <w:smallCaps w:val="0"/>
          <w:sz w:val="32"/>
          <w:szCs w:val="32"/>
          <w:highlight w:val="none"/>
        </w:rPr>
        <w:t>评标程序及标准</w:t>
      </w:r>
      <w:bookmarkEnd w:id="37"/>
    </w:p>
    <w:p w14:paraId="286C2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本项目采用综合评估法。是指在最大限度地满足招标文件实质性要求前提下，按照招标文件规定的评审标准进行评审，按评审因素的量化指标评审排序靠前的推荐中标候选人。得分相同的，按投标报价由低到高顺序排列；得分且投标报价相同的，按商务技术指标或服务方案得分顺序排列；如商务技术指标或服务方案得分仍然相同，则采用抽签的方法确定中标候选人的排序。具体程序如下：</w:t>
      </w:r>
    </w:p>
    <w:p w14:paraId="2B640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rPr>
      </w:pPr>
      <w:bookmarkStart w:id="38" w:name="_Toc40445480"/>
      <w:bookmarkStart w:id="39" w:name="_Toc532127158"/>
      <w:r>
        <w:rPr>
          <w:rFonts w:hint="eastAsia" w:ascii="Times New Roman" w:hAnsi="Times New Roman" w:eastAsia="黑体" w:cs="黑体"/>
          <w:bCs/>
          <w:smallCaps w:val="0"/>
          <w:sz w:val="32"/>
          <w:szCs w:val="32"/>
          <w:highlight w:val="none"/>
          <w:lang w:val="en-US" w:eastAsia="zh-CN"/>
        </w:rPr>
        <w:t>一、</w:t>
      </w:r>
      <w:r>
        <w:rPr>
          <w:rFonts w:hint="eastAsia" w:ascii="Times New Roman" w:hAnsi="Times New Roman" w:eastAsia="黑体" w:cs="黑体"/>
          <w:bCs/>
          <w:smallCaps w:val="0"/>
          <w:sz w:val="32"/>
          <w:szCs w:val="32"/>
          <w:highlight w:val="none"/>
        </w:rPr>
        <w:t>初步评审</w:t>
      </w:r>
      <w:bookmarkEnd w:id="38"/>
      <w:bookmarkEnd w:id="39"/>
    </w:p>
    <w:p w14:paraId="5B34E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评标专家组根据投标人根据本文件“第二部分 招标文件 第一章 项目需求 六、投标文件要求 2.资质证明文件 ”所提交的文件进行核验。有一项不符合评审标准的，评标专家组应否决其投标。</w:t>
      </w:r>
    </w:p>
    <w:p w14:paraId="42E80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初步评审的结论是“通过”或“不通过”，只有结论为“通过”的投标方能进入下一阶段的评标，否则其投标将按无效标处理。</w:t>
      </w:r>
    </w:p>
    <w:p w14:paraId="294AF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0" w:name="_bookmark89"/>
      <w:bookmarkEnd w:id="40"/>
      <w:bookmarkStart w:id="41" w:name="_Toc40445481"/>
      <w:bookmarkStart w:id="42" w:name="_Toc532127159"/>
      <w:r>
        <w:rPr>
          <w:rFonts w:hint="eastAsia" w:ascii="Times New Roman" w:hAnsi="Times New Roman" w:eastAsia="黑体" w:cs="黑体"/>
          <w:bCs/>
          <w:smallCaps w:val="0"/>
          <w:sz w:val="32"/>
          <w:szCs w:val="32"/>
          <w:highlight w:val="none"/>
          <w:lang w:val="en-US" w:eastAsia="zh-CN"/>
        </w:rPr>
        <w:t>二、详细评审</w:t>
      </w:r>
      <w:bookmarkEnd w:id="41"/>
      <w:bookmarkEnd w:id="42"/>
    </w:p>
    <w:p w14:paraId="6A647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1.</w:t>
      </w:r>
      <w:r>
        <w:rPr>
          <w:rFonts w:hint="eastAsia" w:ascii="Times New Roman" w:hAnsi="Times New Roman" w:eastAsia="仿宋_GB2312" w:cs="仿宋_GB2312"/>
          <w:bCs/>
          <w:smallCaps w:val="0"/>
          <w:sz w:val="32"/>
          <w:szCs w:val="32"/>
          <w:highlight w:val="none"/>
        </w:rPr>
        <w:t>评标专家组按本章规定的量化因素和分值进行打分并计算</w:t>
      </w:r>
      <w:r>
        <w:rPr>
          <w:rFonts w:hint="eastAsia" w:ascii="仿宋_GB2312" w:hAnsi="仿宋_GB2312" w:eastAsia="仿宋_GB2312" w:cs="仿宋_GB2312"/>
          <w:bCs/>
          <w:smallCaps w:val="0"/>
          <w:sz w:val="32"/>
          <w:szCs w:val="32"/>
          <w:highlight w:val="none"/>
        </w:rPr>
        <w:t>出综合评估得分。</w:t>
      </w:r>
    </w:p>
    <w:p w14:paraId="2DA0D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按本章商务技术标评分标准规定的评审因素和权重对应分值对商</w:t>
      </w:r>
      <w:r>
        <w:rPr>
          <w:rFonts w:hint="eastAsia" w:ascii="Times New Roman" w:hAnsi="Times New Roman" w:eastAsia="仿宋_GB2312" w:cs="仿宋_GB2312"/>
          <w:bCs/>
          <w:smallCaps w:val="0"/>
          <w:sz w:val="32"/>
          <w:szCs w:val="32"/>
          <w:highlight w:val="none"/>
        </w:rPr>
        <w:t>务部分计算出得分A；</w:t>
      </w:r>
    </w:p>
    <w:p w14:paraId="09237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（2）按</w:t>
      </w:r>
      <w:r>
        <w:rPr>
          <w:rFonts w:hint="eastAsia" w:ascii="Times New Roman" w:hAnsi="Times New Roman" w:eastAsia="仿宋_GB2312" w:cs="仿宋_GB2312"/>
          <w:bCs/>
          <w:smallCaps w:val="0"/>
          <w:sz w:val="32"/>
          <w:szCs w:val="32"/>
          <w:highlight w:val="none"/>
        </w:rPr>
        <w:t>本章价格标评分方法规定的评审因素和权重对应分值对投标报价计算出得分B；</w:t>
      </w:r>
    </w:p>
    <w:p w14:paraId="54425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评分分值计算保留小数点后两位，小数点后第三位“四舍五入”。</w:t>
      </w:r>
    </w:p>
    <w:p w14:paraId="03CAE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（3）投标人</w:t>
      </w:r>
      <w:r>
        <w:rPr>
          <w:rFonts w:hint="eastAsia" w:ascii="Times New Roman" w:hAnsi="Times New Roman" w:eastAsia="仿宋_GB2312" w:cs="仿宋_GB2312"/>
          <w:bCs/>
          <w:smallCaps w:val="0"/>
          <w:sz w:val="32"/>
          <w:szCs w:val="32"/>
          <w:highlight w:val="none"/>
        </w:rPr>
        <w:t>得分=A+B。</w:t>
      </w:r>
    </w:p>
    <w:p w14:paraId="6484C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评</w:t>
      </w:r>
      <w:r>
        <w:rPr>
          <w:rFonts w:hint="eastAsia" w:ascii="Times New Roman" w:hAnsi="Times New Roman" w:eastAsia="仿宋_GB2312" w:cs="仿宋_GB2312"/>
          <w:bCs/>
          <w:smallCaps w:val="0"/>
          <w:sz w:val="32"/>
          <w:szCs w:val="32"/>
          <w:highlight w:val="none"/>
        </w:rPr>
        <w:t>标专家组发现投标人的报价明显低于其他投标报价，使得其投标报价可能低于其成本的，应当要求该投标人作出书面说明并提供相应的证明材料。投标人不能合理说明或者不能提供相应证明材料的，由评标专家组认定该投标人以低于成本报价竞标，并否决其投标。</w:t>
      </w:r>
    </w:p>
    <w:p w14:paraId="74B31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3" w:name="_Toc532127160"/>
      <w:bookmarkStart w:id="44" w:name="_Toc40445482"/>
      <w:r>
        <w:rPr>
          <w:rFonts w:hint="eastAsia" w:ascii="Times New Roman" w:hAnsi="Times New Roman" w:eastAsia="黑体" w:cs="黑体"/>
          <w:bCs/>
          <w:smallCaps w:val="0"/>
          <w:sz w:val="32"/>
          <w:szCs w:val="32"/>
          <w:highlight w:val="none"/>
          <w:lang w:val="en-US" w:eastAsia="zh-CN"/>
        </w:rPr>
        <w:t>三、投标文件的澄清</w:t>
      </w:r>
      <w:bookmarkEnd w:id="43"/>
      <w:bookmarkEnd w:id="44"/>
    </w:p>
    <w:p w14:paraId="7E62D9F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在评标过程中，评标专家组可以书面形式要求投标人对投标文件中含义不明确、对同类问题表述不一致或者有明显文字和计算错误的内容作必要的澄清、说明或补正。澄清、说明或补正应以电子公文（或书面方式）进行。评标专家组不接受投标人主动提出的澄清、说明或补正。</w:t>
      </w:r>
    </w:p>
    <w:p w14:paraId="05264C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澄清、说明或补正不得超出投标文件的范围且不得改变投标文件的实质性内容，并构成投标文件的组成部分。</w:t>
      </w:r>
    </w:p>
    <w:p w14:paraId="1E5D2FB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评标专家组对投标人提交的澄清、说明或补正有疑问的，可以要求投标人进一步澄清、说明或补正，直至满足评标专家组的要求。</w:t>
      </w:r>
    </w:p>
    <w:p w14:paraId="78F23A5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文件存在投标报价问题的，评标专家组可以进行投标报价的算术修正，投标报价算术修正按有利于招标人的原则进行。修正后的投标报价经投标人同意后，对投标人起约束作用。如果投标人不接受修正后的报价，其投标将被拒绝。</w:t>
      </w:r>
      <w:bookmarkStart w:id="45" w:name="_Toc532127161"/>
    </w:p>
    <w:p w14:paraId="57786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6" w:name="_Toc40445483"/>
      <w:r>
        <w:rPr>
          <w:rFonts w:hint="eastAsia" w:ascii="Times New Roman" w:hAnsi="Times New Roman" w:eastAsia="黑体" w:cs="黑体"/>
          <w:bCs/>
          <w:smallCaps w:val="0"/>
          <w:sz w:val="32"/>
          <w:szCs w:val="32"/>
          <w:highlight w:val="none"/>
          <w:lang w:val="en-US" w:eastAsia="zh-CN"/>
        </w:rPr>
        <w:t>四、评标结果</w:t>
      </w:r>
      <w:bookmarkEnd w:id="45"/>
      <w:bookmarkEnd w:id="46"/>
    </w:p>
    <w:p w14:paraId="33F0FD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评标专家组按照评审分数由低到高的顺序推荐中标候选人，并标明排序。</w:t>
      </w:r>
    </w:p>
    <w:p w14:paraId="6D124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评标专家组完</w:t>
      </w:r>
      <w:r>
        <w:rPr>
          <w:rFonts w:hint="eastAsia" w:ascii="Times New Roman" w:hAnsi="Times New Roman" w:eastAsia="仿宋_GB2312" w:cs="仿宋_GB2312"/>
          <w:bCs/>
          <w:smallCaps w:val="0"/>
          <w:sz w:val="32"/>
          <w:szCs w:val="32"/>
          <w:highlight w:val="none"/>
        </w:rPr>
        <w:t>成评标后，应当向招标决策委员会提交书面评标报告和中标候选人名单。</w:t>
      </w:r>
      <w:bookmarkStart w:id="47" w:name="_Toc532127162"/>
      <w:r>
        <w:rPr>
          <w:rFonts w:hint="eastAsia" w:ascii="Times New Roman" w:hAnsi="Times New Roman" w:eastAsia="仿宋_GB2312" w:cs="仿宋_GB2312"/>
          <w:bCs/>
          <w:smallCaps w:val="0"/>
          <w:sz w:val="32"/>
          <w:szCs w:val="32"/>
          <w:highlight w:val="none"/>
        </w:rPr>
        <w:t>具体程序如下:</w:t>
      </w:r>
    </w:p>
    <w:bookmarkEnd w:id="47"/>
    <w:p w14:paraId="4A7E1A2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按评</w:t>
      </w:r>
      <w:r>
        <w:rPr>
          <w:rFonts w:hint="eastAsia" w:ascii="Times New Roman" w:hAnsi="Times New Roman" w:eastAsia="仿宋_GB2312" w:cs="仿宋_GB2312"/>
          <w:bCs/>
          <w:smallCaps w:val="0"/>
          <w:sz w:val="32"/>
          <w:szCs w:val="32"/>
          <w:highlight w:val="none"/>
        </w:rPr>
        <w:t>审综合得分从高至低的顺序进行排序，向招标人决策委员会推荐评审总得分排名靠前的投标人为中标候选人，推荐数为2家。</w:t>
      </w:r>
    </w:p>
    <w:p w14:paraId="47B03C1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若出</w:t>
      </w:r>
      <w:r>
        <w:rPr>
          <w:rFonts w:hint="eastAsia" w:ascii="Times New Roman" w:hAnsi="Times New Roman" w:eastAsia="仿宋_GB2312" w:cs="仿宋_GB2312"/>
          <w:bCs/>
          <w:smallCaps w:val="0"/>
          <w:sz w:val="32"/>
          <w:szCs w:val="32"/>
          <w:highlight w:val="none"/>
        </w:rPr>
        <w:t>现评审综合得分相同的情形，按投标报价由低到高顺序排列；得分且投标报价相同的，按商务技术标得分顺序排列；如商务技术标得分仍然相同，则采用抽签的方法确定中标候选人的排序。</w:t>
      </w:r>
    </w:p>
    <w:p w14:paraId="37A0E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五、转为竞争性谈判的程序</w:t>
      </w:r>
    </w:p>
    <w:p w14:paraId="4D7CF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参照法律法规规定执行。</w:t>
      </w:r>
    </w:p>
    <w:p w14:paraId="4C468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8" w:name="_Toc532127163"/>
      <w:bookmarkStart w:id="49" w:name="_Toc40445485"/>
      <w:r>
        <w:rPr>
          <w:rFonts w:hint="eastAsia" w:ascii="Times New Roman" w:hAnsi="Times New Roman" w:eastAsia="黑体" w:cs="黑体"/>
          <w:bCs/>
          <w:smallCaps w:val="0"/>
          <w:sz w:val="32"/>
          <w:szCs w:val="32"/>
          <w:highlight w:val="none"/>
          <w:lang w:val="en-US" w:eastAsia="zh-CN"/>
        </w:rPr>
        <w:t>六、附表</w:t>
      </w:r>
      <w:bookmarkEnd w:id="48"/>
      <w:bookmarkEnd w:id="49"/>
    </w:p>
    <w:p w14:paraId="476FD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附</w:t>
      </w:r>
      <w:r>
        <w:rPr>
          <w:rFonts w:hint="eastAsia" w:ascii="仿宋_GB2312" w:hAnsi="仿宋_GB2312" w:eastAsia="仿宋_GB2312" w:cs="仿宋_GB2312"/>
          <w:bCs/>
          <w:smallCaps w:val="0"/>
          <w:sz w:val="32"/>
          <w:szCs w:val="32"/>
          <w:highlight w:val="none"/>
        </w:rPr>
        <w:t>表1-1《商务技术标评审标准》</w:t>
      </w:r>
    </w:p>
    <w:p w14:paraId="10AA4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附表2-1《价格标评分方法》</w:t>
      </w:r>
    </w:p>
    <w:p w14:paraId="7DDF0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附表3-1</w:t>
      </w:r>
      <w:r>
        <w:rPr>
          <w:rFonts w:hint="eastAsia" w:ascii="Times New Roman" w:hAnsi="Times New Roman" w:eastAsia="仿宋_GB2312" w:cs="仿宋_GB2312"/>
          <w:bCs/>
          <w:smallCaps w:val="0"/>
          <w:sz w:val="32"/>
          <w:szCs w:val="32"/>
          <w:highlight w:val="none"/>
        </w:rPr>
        <w:t>《商务技术标、价格标权重表》</w:t>
      </w:r>
    </w:p>
    <w:p w14:paraId="508AAC0A">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仿宋"/>
          <w:bCs/>
          <w:smallCaps w:val="0"/>
          <w:sz w:val="32"/>
          <w:szCs w:val="32"/>
          <w:highlight w:val="none"/>
        </w:rPr>
      </w:pPr>
    </w:p>
    <w:p w14:paraId="441C589A">
      <w:pPr>
        <w:keepNext/>
        <w:keepLines/>
        <w:pageBreakBefore w:val="0"/>
        <w:widowControl/>
        <w:numPr>
          <w:ilvl w:val="3"/>
          <w:numId w:val="0"/>
        </w:numPr>
        <w:kinsoku/>
        <w:wordWrap/>
        <w:overflowPunct/>
        <w:topLinePunct w:val="0"/>
        <w:autoSpaceDE/>
        <w:autoSpaceDN/>
        <w:bidi w:val="0"/>
        <w:adjustRightInd w:val="0"/>
        <w:snapToGrid w:val="0"/>
        <w:spacing w:line="560" w:lineRule="exact"/>
        <w:ind w:firstLine="0" w:firstLineChars="0"/>
        <w:textAlignment w:val="auto"/>
        <w:outlineLvl w:val="3"/>
        <w:rPr>
          <w:rFonts w:hint="eastAsia" w:ascii="Times New Roman" w:hAnsi="Times New Roman" w:eastAsia="仿宋" w:cs="仿宋"/>
          <w:b/>
          <w:smallCaps w:val="0"/>
          <w:sz w:val="32"/>
          <w:szCs w:val="32"/>
          <w:highlight w:val="none"/>
        </w:rPr>
      </w:pPr>
      <w:bookmarkStart w:id="50" w:name="_bookmark91"/>
      <w:bookmarkEnd w:id="50"/>
      <w:bookmarkStart w:id="51" w:name="_bookmark90"/>
      <w:bookmarkEnd w:id="51"/>
      <w:r>
        <w:rPr>
          <w:rFonts w:hint="eastAsia" w:ascii="Times New Roman" w:hAnsi="Times New Roman" w:eastAsia="仿宋" w:cs="仿宋"/>
          <w:b/>
          <w:smallCaps w:val="0"/>
          <w:sz w:val="32"/>
          <w:szCs w:val="32"/>
          <w:highlight w:val="none"/>
        </w:rPr>
        <w:br w:type="page"/>
      </w:r>
      <w:r>
        <w:rPr>
          <w:rFonts w:hint="eastAsia" w:ascii="Times New Roman" w:hAnsi="Times New Roman" w:eastAsia="仿宋" w:cs="仿宋"/>
          <w:b/>
          <w:smallCaps w:val="0"/>
          <w:sz w:val="21"/>
          <w:szCs w:val="21"/>
          <w:highlight w:val="none"/>
        </w:rPr>
        <w:t>附</w:t>
      </w:r>
      <w:r>
        <w:rPr>
          <w:rFonts w:hint="eastAsia" w:ascii="仿宋_GB2312" w:hAnsi="仿宋_GB2312" w:eastAsia="仿宋_GB2312" w:cs="仿宋_GB2312"/>
          <w:b/>
          <w:smallCaps w:val="0"/>
          <w:sz w:val="21"/>
          <w:szCs w:val="21"/>
          <w:highlight w:val="none"/>
        </w:rPr>
        <w:t>表1-1</w:t>
      </w:r>
      <w:r>
        <w:rPr>
          <w:rFonts w:hint="eastAsia" w:ascii="Times New Roman" w:hAnsi="Times New Roman" w:eastAsia="仿宋" w:cs="仿宋"/>
          <w:b/>
          <w:smallCaps w:val="0"/>
          <w:sz w:val="21"/>
          <w:szCs w:val="21"/>
          <w:highlight w:val="none"/>
        </w:rPr>
        <w:t xml:space="preserve"> 商务技术标评审标准</w:t>
      </w:r>
    </w:p>
    <w:p w14:paraId="20D3B863">
      <w:pPr>
        <w:pageBreakBefore w:val="0"/>
        <w:widowControl/>
        <w:kinsoku/>
        <w:overflowPunct/>
        <w:topLinePunct w:val="0"/>
        <w:autoSpaceDE/>
        <w:autoSpaceDN/>
        <w:bidi w:val="0"/>
        <w:adjustRightInd w:val="0"/>
        <w:snapToGrid w:val="0"/>
        <w:spacing w:line="240" w:lineRule="auto"/>
        <w:jc w:val="center"/>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商务技术标评审标准</w:t>
      </w:r>
    </w:p>
    <w:tbl>
      <w:tblPr>
        <w:tblStyle w:val="15"/>
        <w:tblW w:w="101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1"/>
        <w:gridCol w:w="7495"/>
        <w:gridCol w:w="896"/>
      </w:tblGrid>
      <w:tr w14:paraId="504AA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jc w:val="center"/>
        </w:trPr>
        <w:tc>
          <w:tcPr>
            <w:tcW w:w="666" w:type="dxa"/>
            <w:tcBorders>
              <w:tl2br w:val="nil"/>
              <w:tr2bl w:val="nil"/>
            </w:tcBorders>
            <w:shd w:val="clear" w:color="auto" w:fill="FFFFFF" w:themeFill="background1"/>
            <w:vAlign w:val="center"/>
          </w:tcPr>
          <w:p w14:paraId="737041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序号</w:t>
            </w:r>
          </w:p>
        </w:tc>
        <w:tc>
          <w:tcPr>
            <w:tcW w:w="1091" w:type="dxa"/>
            <w:tcBorders>
              <w:tl2br w:val="nil"/>
              <w:tr2bl w:val="nil"/>
            </w:tcBorders>
            <w:shd w:val="clear" w:color="auto" w:fill="FFFFFF" w:themeFill="background1"/>
            <w:vAlign w:val="center"/>
          </w:tcPr>
          <w:p w14:paraId="34060E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评分因素</w:t>
            </w:r>
          </w:p>
        </w:tc>
        <w:tc>
          <w:tcPr>
            <w:tcW w:w="7495" w:type="dxa"/>
            <w:tcBorders>
              <w:tl2br w:val="nil"/>
              <w:tr2bl w:val="nil"/>
            </w:tcBorders>
            <w:shd w:val="clear" w:color="auto" w:fill="FFFFFF" w:themeFill="background1"/>
            <w:vAlign w:val="center"/>
          </w:tcPr>
          <w:p w14:paraId="316B88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评分准则</w:t>
            </w:r>
          </w:p>
        </w:tc>
        <w:tc>
          <w:tcPr>
            <w:tcW w:w="896" w:type="dxa"/>
            <w:tcBorders>
              <w:tl2br w:val="nil"/>
              <w:tr2bl w:val="nil"/>
            </w:tcBorders>
            <w:shd w:val="clear" w:color="auto" w:fill="FFFFFF" w:themeFill="background1"/>
            <w:vAlign w:val="center"/>
          </w:tcPr>
          <w:p w14:paraId="1CB983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分值</w:t>
            </w:r>
          </w:p>
        </w:tc>
      </w:tr>
      <w:tr w14:paraId="551FB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666" w:type="dxa"/>
            <w:tcBorders>
              <w:tl2br w:val="nil"/>
              <w:tr2bl w:val="nil"/>
            </w:tcBorders>
            <w:vAlign w:val="center"/>
          </w:tcPr>
          <w:p w14:paraId="0888AC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w:t>
            </w:r>
          </w:p>
        </w:tc>
        <w:tc>
          <w:tcPr>
            <w:tcW w:w="1091" w:type="dxa"/>
            <w:tcBorders>
              <w:tl2br w:val="nil"/>
              <w:tr2bl w:val="nil"/>
            </w:tcBorders>
            <w:vAlign w:val="center"/>
          </w:tcPr>
          <w:p w14:paraId="4DD21E7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投标人综合实力</w:t>
            </w:r>
          </w:p>
        </w:tc>
        <w:tc>
          <w:tcPr>
            <w:tcW w:w="7495" w:type="dxa"/>
            <w:tcBorders>
              <w:tl2br w:val="nil"/>
              <w:tr2bl w:val="nil"/>
            </w:tcBorders>
            <w:vAlign w:val="center"/>
          </w:tcPr>
          <w:p w14:paraId="0F3FBB28">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p>
          <w:p w14:paraId="3358E35B">
            <w:pPr>
              <w:keepNext w:val="0"/>
              <w:keepLines w:val="0"/>
              <w:pageBreakBefore w:val="0"/>
              <w:widowControl/>
              <w:shd w:val="clear" w:color="auto" w:fill="FFFFFF"/>
              <w:kinsoku/>
              <w:wordWrap/>
              <w:overflowPunct/>
              <w:topLinePunct w:val="0"/>
              <w:autoSpaceDE/>
              <w:autoSpaceDN/>
              <w:bidi w:val="0"/>
              <w:spacing w:line="240" w:lineRule="auto"/>
              <w:ind w:firstLine="430" w:firstLineChars="215"/>
              <w:jc w:val="left"/>
              <w:textAlignment w:val="auto"/>
              <w:rPr>
                <w:rFonts w:hint="eastAsia"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1.投标人获得质量管理体系认证证书、环境管理体系认证证书、职业健康安全管理体系认证证书、社会责任管理体系认证证书等其他由国家相关认可的监督管理部门批准设立的认证机构颁发并在有效期内的认证证书。上述证书，每提供1个得3分，最高12分。</w:t>
            </w:r>
          </w:p>
          <w:p w14:paraId="16B605EA">
            <w:pPr>
              <w:keepNext w:val="0"/>
              <w:keepLines w:val="0"/>
              <w:pageBreakBefore w:val="0"/>
              <w:widowControl/>
              <w:shd w:val="clear" w:color="auto" w:fill="FFFFFF"/>
              <w:kinsoku/>
              <w:wordWrap/>
              <w:overflowPunct/>
              <w:topLinePunct w:val="0"/>
              <w:autoSpaceDE/>
              <w:autoSpaceDN/>
              <w:bidi w:val="0"/>
              <w:spacing w:line="240" w:lineRule="auto"/>
              <w:ind w:firstLine="430" w:firstLineChars="215"/>
              <w:jc w:val="left"/>
              <w:textAlignment w:val="auto"/>
              <w:rPr>
                <w:rFonts w:hint="default"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2.投标人额外获得四星级以上（含）售后服务认证证书的，额外得5分。</w:t>
            </w:r>
          </w:p>
          <w:p w14:paraId="32A5B8BD">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 w:val="0"/>
                <w:bCs/>
                <w:smallCaps w:val="0"/>
                <w:sz w:val="20"/>
                <w:szCs w:val="20"/>
                <w:highlight w:val="none"/>
                <w:lang w:val="en-US" w:eastAsia="zh-CN"/>
              </w:rPr>
              <w:t>投标人需提供有效证明文件扫描件，管理体系认证证书还需提供国家认证认可监督管理委员会官方网站（www.cnca.gov.cn）或相关网站查询截图；未提供或不清晰的不得分。</w:t>
            </w:r>
          </w:p>
        </w:tc>
        <w:tc>
          <w:tcPr>
            <w:tcW w:w="896" w:type="dxa"/>
            <w:tcBorders>
              <w:tl2br w:val="nil"/>
              <w:tr2bl w:val="nil"/>
            </w:tcBorders>
            <w:vAlign w:val="center"/>
          </w:tcPr>
          <w:p w14:paraId="0FE028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17分</w:t>
            </w:r>
          </w:p>
        </w:tc>
      </w:tr>
      <w:tr w14:paraId="19F4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666" w:type="dxa"/>
            <w:tcBorders>
              <w:tl2br w:val="nil"/>
              <w:tr2bl w:val="nil"/>
            </w:tcBorders>
            <w:vAlign w:val="center"/>
          </w:tcPr>
          <w:p w14:paraId="478C7F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w:t>
            </w:r>
          </w:p>
        </w:tc>
        <w:tc>
          <w:tcPr>
            <w:tcW w:w="1091" w:type="dxa"/>
            <w:tcBorders>
              <w:tl2br w:val="nil"/>
              <w:tr2bl w:val="nil"/>
            </w:tcBorders>
            <w:vAlign w:val="center"/>
          </w:tcPr>
          <w:p w14:paraId="057E9119">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theme="minorEastAsia"/>
                <w:b/>
                <w:bCs w:val="0"/>
                <w:smallCaps w:val="0"/>
                <w:sz w:val="20"/>
                <w:szCs w:val="20"/>
                <w:highlight w:val="none"/>
              </w:rPr>
            </w:pPr>
            <w:r>
              <w:rPr>
                <w:rFonts w:hint="eastAsia" w:ascii="Times New Roman" w:hAnsi="Times New Roman" w:eastAsia="宋体" w:cstheme="minorEastAsia"/>
                <w:b/>
                <w:bCs w:val="0"/>
                <w:smallCaps w:val="0"/>
                <w:sz w:val="20"/>
                <w:szCs w:val="20"/>
                <w:highlight w:val="none"/>
                <w:lang w:val="en-US" w:eastAsia="zh-CN"/>
              </w:rPr>
              <w:t>投标人荣誉情况</w:t>
            </w:r>
          </w:p>
        </w:tc>
        <w:tc>
          <w:tcPr>
            <w:tcW w:w="7495" w:type="dxa"/>
            <w:tcBorders>
              <w:tl2br w:val="nil"/>
              <w:tr2bl w:val="nil"/>
            </w:tcBorders>
            <w:vAlign w:val="center"/>
          </w:tcPr>
          <w:p w14:paraId="6F266BF8">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smallCaps w:val="0"/>
                <w:sz w:val="20"/>
                <w:szCs w:val="20"/>
                <w:highlight w:val="none"/>
                <w:lang w:val="en-US" w:eastAsia="zh-CN"/>
              </w:rPr>
              <w:t>评审标准：</w:t>
            </w:r>
            <w:r>
              <w:rPr>
                <w:rFonts w:hint="eastAsia" w:ascii="Times New Roman" w:hAnsi="Times New Roman" w:eastAsia="宋体" w:cstheme="minorEastAsia"/>
                <w:b w:val="0"/>
                <w:bCs/>
                <w:smallCaps w:val="0"/>
                <w:color w:val="auto"/>
                <w:sz w:val="20"/>
                <w:szCs w:val="20"/>
                <w:highlight w:val="none"/>
                <w:lang w:val="en-US" w:eastAsia="zh-CN"/>
              </w:rPr>
              <w:t>投标人</w:t>
            </w:r>
            <w:r>
              <w:rPr>
                <w:rFonts w:hint="eastAsia" w:ascii="Times New Roman" w:hAnsi="Times New Roman" w:eastAsia="宋体" w:cstheme="minorEastAsia"/>
                <w:bCs/>
                <w:smallCaps w:val="0"/>
                <w:color w:val="auto"/>
                <w:sz w:val="20"/>
                <w:szCs w:val="20"/>
                <w:highlight w:val="none"/>
                <w:lang w:val="en-US" w:eastAsia="zh-CN"/>
              </w:rPr>
              <w:t>提供近三年（2021年1月至投标截止时间）</w:t>
            </w:r>
            <w:r>
              <w:rPr>
                <w:rFonts w:hint="eastAsia" w:ascii="Times New Roman" w:hAnsi="Times New Roman" w:eastAsia="宋体" w:cstheme="minorEastAsia"/>
                <w:smallCaps w:val="0"/>
                <w:sz w:val="20"/>
                <w:szCs w:val="20"/>
                <w:highlight w:val="none"/>
                <w:lang w:val="en-US" w:eastAsia="zh-CN"/>
              </w:rPr>
              <w:t>获省级以上国家部门授予称号或奖项的，得3分；获市级部门授予称号或奖项的，得2分；获区级部门授予称号或奖项的，得1分；不同奖项可累计，同一奖项不同年度多次得奖不累计得分，最高不超过12分。</w:t>
            </w:r>
          </w:p>
          <w:p w14:paraId="24605D9B">
            <w:pPr>
              <w:ind w:firstLine="0" w:firstLineChars="0"/>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Cs/>
                <w:smallCaps w:val="0"/>
                <w:color w:val="auto"/>
                <w:sz w:val="20"/>
                <w:szCs w:val="20"/>
                <w:highlight w:val="none"/>
                <w:lang w:val="en-US" w:eastAsia="zh-CN"/>
              </w:rPr>
              <w:t>投标人需提供</w:t>
            </w:r>
            <w:r>
              <w:rPr>
                <w:rFonts w:hint="eastAsia" w:ascii="Times New Roman" w:hAnsi="Times New Roman" w:eastAsia="宋体" w:cstheme="minorEastAsia"/>
                <w:b w:val="0"/>
                <w:bCs/>
                <w:smallCaps w:val="0"/>
                <w:color w:val="auto"/>
                <w:sz w:val="20"/>
                <w:szCs w:val="20"/>
                <w:highlight w:val="none"/>
                <w:lang w:val="en-US" w:eastAsia="zh-CN"/>
              </w:rPr>
              <w:t>加盖公章的有效权威网站证明信息或荣誉证书复印件。</w:t>
            </w:r>
          </w:p>
        </w:tc>
        <w:tc>
          <w:tcPr>
            <w:tcW w:w="896" w:type="dxa"/>
            <w:tcBorders>
              <w:tl2br w:val="nil"/>
              <w:tr2bl w:val="nil"/>
            </w:tcBorders>
            <w:vAlign w:val="center"/>
          </w:tcPr>
          <w:p w14:paraId="24A21D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rPr>
            </w:pPr>
            <w:r>
              <w:rPr>
                <w:rFonts w:hint="eastAsia" w:ascii="Times New Roman" w:hAnsi="Times New Roman" w:eastAsia="宋体" w:cstheme="minorEastAsia"/>
                <w:bCs/>
                <w:smallCaps w:val="0"/>
                <w:sz w:val="20"/>
                <w:szCs w:val="20"/>
                <w:highlight w:val="none"/>
                <w:lang w:val="en-US" w:eastAsia="zh-CN"/>
              </w:rPr>
              <w:t>12</w:t>
            </w:r>
            <w:r>
              <w:rPr>
                <w:rFonts w:hint="eastAsia" w:ascii="Times New Roman" w:hAnsi="Times New Roman" w:eastAsia="宋体" w:cstheme="minorEastAsia"/>
                <w:bCs/>
                <w:smallCaps w:val="0"/>
                <w:sz w:val="20"/>
                <w:szCs w:val="20"/>
                <w:highlight w:val="none"/>
              </w:rPr>
              <w:t>分</w:t>
            </w:r>
          </w:p>
        </w:tc>
      </w:tr>
      <w:tr w14:paraId="1EFEB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666" w:type="dxa"/>
            <w:tcBorders>
              <w:tl2br w:val="nil"/>
              <w:tr2bl w:val="nil"/>
            </w:tcBorders>
            <w:vAlign w:val="center"/>
          </w:tcPr>
          <w:p w14:paraId="45D452B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3</w:t>
            </w:r>
          </w:p>
        </w:tc>
        <w:tc>
          <w:tcPr>
            <w:tcW w:w="1091" w:type="dxa"/>
            <w:tcBorders>
              <w:tl2br w:val="nil"/>
              <w:tr2bl w:val="nil"/>
            </w:tcBorders>
            <w:vAlign w:val="center"/>
          </w:tcPr>
          <w:p w14:paraId="2235A210">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业绩证明</w:t>
            </w:r>
          </w:p>
        </w:tc>
        <w:tc>
          <w:tcPr>
            <w:tcW w:w="7495" w:type="dxa"/>
            <w:tcBorders>
              <w:tl2br w:val="nil"/>
              <w:tr2bl w:val="nil"/>
            </w:tcBorders>
            <w:vAlign w:val="center"/>
          </w:tcPr>
          <w:p w14:paraId="785003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评审标准：</w:t>
            </w:r>
            <w:r>
              <w:rPr>
                <w:rFonts w:hint="eastAsia" w:ascii="Times New Roman" w:hAnsi="Times New Roman" w:eastAsia="宋体" w:cstheme="minorEastAsia"/>
                <w:b w:val="0"/>
                <w:bCs/>
                <w:smallCaps w:val="0"/>
                <w:color w:val="auto"/>
                <w:sz w:val="20"/>
                <w:szCs w:val="20"/>
                <w:highlight w:val="none"/>
                <w:lang w:val="en-US" w:eastAsia="zh-CN"/>
              </w:rPr>
              <w:t>投标人</w:t>
            </w:r>
            <w:r>
              <w:rPr>
                <w:rFonts w:hint="eastAsia" w:ascii="Times New Roman" w:hAnsi="Times New Roman" w:eastAsia="宋体" w:cstheme="minorEastAsia"/>
                <w:bCs/>
                <w:smallCaps w:val="0"/>
                <w:color w:val="auto"/>
                <w:sz w:val="20"/>
                <w:szCs w:val="20"/>
                <w:highlight w:val="none"/>
                <w:lang w:val="en-US" w:eastAsia="zh-CN"/>
              </w:rPr>
              <w:t>提供在深圳近三年（2021年1月至投标截止时间）完成的同类服务项目</w:t>
            </w:r>
            <w:r>
              <w:rPr>
                <w:rFonts w:hint="eastAsia" w:ascii="Times New Roman" w:hAnsi="Times New Roman" w:eastAsia="宋体" w:cstheme="minorEastAsia"/>
                <w:smallCaps w:val="0"/>
                <w:color w:val="auto"/>
                <w:sz w:val="20"/>
                <w:szCs w:val="20"/>
                <w:highlight w:val="none"/>
                <w:lang w:val="en-US" w:eastAsia="zh-CN"/>
              </w:rPr>
              <w:t>的</w:t>
            </w:r>
            <w:r>
              <w:rPr>
                <w:rFonts w:hint="eastAsia" w:ascii="Times New Roman" w:hAnsi="Times New Roman" w:eastAsia="宋体" w:cstheme="minorEastAsia"/>
                <w:bCs/>
                <w:smallCaps w:val="0"/>
                <w:color w:val="auto"/>
                <w:sz w:val="20"/>
                <w:szCs w:val="20"/>
                <w:highlight w:val="none"/>
                <w:lang w:val="en-US" w:eastAsia="zh-CN"/>
              </w:rPr>
              <w:t>业绩证明，每提供一份合同金额不低于50万元（含）的有效案例加4分，最高分得20分。</w:t>
            </w:r>
          </w:p>
          <w:p w14:paraId="191885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heme="minorEastAsia"/>
                <w:b w:val="0"/>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 w:val="0"/>
                <w:bCs/>
                <w:smallCaps w:val="0"/>
                <w:color w:val="auto"/>
                <w:sz w:val="20"/>
                <w:szCs w:val="20"/>
                <w:highlight w:val="none"/>
                <w:lang w:val="en-US" w:eastAsia="zh-CN"/>
              </w:rPr>
              <w:t>提供业绩汇总表及合同关键页扫描件，根据投标人提供业绩合同关键页扫描件进行评分（要求能体现合同签订方盖章页、合同金额、服务范围及内容、合同签订时间）。如提供合同未显示合同金额的，提供对应结算清单的，可以作为有效佐证计入业绩，所有文件均需清晰扫描并加盖公章。“格式参见本招标文件“第四章 投标文件格式 格式3 业绩证明”。</w:t>
            </w:r>
          </w:p>
        </w:tc>
        <w:tc>
          <w:tcPr>
            <w:tcW w:w="896" w:type="dxa"/>
            <w:tcBorders>
              <w:tl2br w:val="nil"/>
              <w:tr2bl w:val="nil"/>
            </w:tcBorders>
            <w:vAlign w:val="center"/>
          </w:tcPr>
          <w:p w14:paraId="5FB02E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20分</w:t>
            </w:r>
          </w:p>
        </w:tc>
      </w:tr>
      <w:tr w14:paraId="0EFEA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666" w:type="dxa"/>
            <w:tcBorders>
              <w:tl2br w:val="nil"/>
              <w:tr2bl w:val="nil"/>
            </w:tcBorders>
            <w:vAlign w:val="center"/>
          </w:tcPr>
          <w:p w14:paraId="0E2D3F7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5</w:t>
            </w:r>
          </w:p>
        </w:tc>
        <w:tc>
          <w:tcPr>
            <w:tcW w:w="1091" w:type="dxa"/>
            <w:tcBorders>
              <w:tl2br w:val="nil"/>
              <w:tr2bl w:val="nil"/>
            </w:tcBorders>
            <w:vAlign w:val="center"/>
          </w:tcPr>
          <w:p w14:paraId="47113CA4">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发货及配送服务</w:t>
            </w:r>
          </w:p>
        </w:tc>
        <w:tc>
          <w:tcPr>
            <w:tcW w:w="7495" w:type="dxa"/>
            <w:tcBorders>
              <w:tl2br w:val="nil"/>
              <w:tr2bl w:val="nil"/>
            </w:tcBorders>
            <w:vAlign w:val="center"/>
          </w:tcPr>
          <w:p w14:paraId="3183894E">
            <w:pPr>
              <w:keepNext w:val="0"/>
              <w:keepLines w:val="0"/>
              <w:pageBreakBefore w:val="0"/>
              <w:widowControl/>
              <w:shd w:val="clear" w:color="auto" w:fill="FFFFFF"/>
              <w:kinsoku/>
              <w:wordWrap/>
              <w:overflowPunct/>
              <w:topLinePunct w:val="0"/>
              <w:autoSpaceDE/>
              <w:autoSpaceDN/>
              <w:bidi w:val="0"/>
              <w:snapToGrid/>
              <w:spacing w:line="260" w:lineRule="exact"/>
              <w:jc w:val="left"/>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p>
          <w:p w14:paraId="4DE929DE">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1.根据投标人收到招标人的电脑设备租赁配送需求后，实施发货及配送服务进行评分，投标人于T+1天内安排发货，T+2天内送达招标人需求所在地的，得10分；其余情况不得分。</w:t>
            </w:r>
          </w:p>
          <w:p w14:paraId="077ADD6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2.投标人自有员工上门送货安装及上门退租验收的，额外得15分；</w:t>
            </w:r>
          </w:p>
          <w:p w14:paraId="5D36C0F2">
            <w:pPr>
              <w:keepNext/>
              <w:keepLines w:val="0"/>
              <w:pageBreakBefore w:val="0"/>
              <w:widowControl w:val="0"/>
              <w:numPr>
                <w:ilvl w:val="0"/>
                <w:numId w:val="0"/>
              </w:numPr>
              <w:kinsoku/>
              <w:wordWrap/>
              <w:overflowPunct/>
              <w:topLinePunct w:val="0"/>
              <w:autoSpaceDE w:val="0"/>
              <w:autoSpaceDN w:val="0"/>
              <w:bidi w:val="0"/>
              <w:adjustRightInd w:val="0"/>
              <w:snapToGrid/>
              <w:spacing w:line="260" w:lineRule="exact"/>
              <w:jc w:val="left"/>
              <w:textAlignment w:val="auto"/>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Cs/>
                <w:smallCaps w:val="0"/>
                <w:color w:val="auto"/>
                <w:sz w:val="20"/>
                <w:szCs w:val="20"/>
                <w:highlight w:val="none"/>
                <w:lang w:val="en-US" w:eastAsia="zh-CN"/>
              </w:rPr>
              <w:t>根据投标人结合自身实际提供的投入本项目交货及仓储服务方案内容评分；所有文件均需加盖公章。</w:t>
            </w:r>
          </w:p>
        </w:tc>
        <w:tc>
          <w:tcPr>
            <w:tcW w:w="896" w:type="dxa"/>
            <w:tcBorders>
              <w:tl2br w:val="nil"/>
              <w:tr2bl w:val="nil"/>
            </w:tcBorders>
            <w:vAlign w:val="center"/>
          </w:tcPr>
          <w:p w14:paraId="26D2A1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25分</w:t>
            </w:r>
          </w:p>
        </w:tc>
      </w:tr>
      <w:tr w14:paraId="0A500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666" w:type="dxa"/>
            <w:tcBorders>
              <w:tl2br w:val="nil"/>
              <w:tr2bl w:val="nil"/>
            </w:tcBorders>
            <w:vAlign w:val="center"/>
          </w:tcPr>
          <w:p w14:paraId="2D9D50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6</w:t>
            </w:r>
          </w:p>
        </w:tc>
        <w:tc>
          <w:tcPr>
            <w:tcW w:w="1091" w:type="dxa"/>
            <w:tcBorders>
              <w:tl2br w:val="nil"/>
              <w:tr2bl w:val="nil"/>
            </w:tcBorders>
            <w:vAlign w:val="center"/>
          </w:tcPr>
          <w:p w14:paraId="57B4887E">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color w:val="0000FF"/>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项目实施服务方案</w:t>
            </w:r>
          </w:p>
        </w:tc>
        <w:tc>
          <w:tcPr>
            <w:tcW w:w="7495" w:type="dxa"/>
            <w:tcBorders>
              <w:tl2br w:val="nil"/>
              <w:tr2bl w:val="nil"/>
            </w:tcBorders>
            <w:vAlign w:val="center"/>
          </w:tcPr>
          <w:p w14:paraId="1B24DBE3">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评审标准：</w:t>
            </w:r>
            <w:r>
              <w:rPr>
                <w:rFonts w:hint="eastAsia" w:ascii="Times New Roman" w:hAnsi="Times New Roman" w:eastAsia="宋体" w:cstheme="minorEastAsia"/>
                <w:bCs/>
                <w:smallCaps w:val="0"/>
                <w:color w:val="auto"/>
                <w:sz w:val="20"/>
                <w:szCs w:val="20"/>
                <w:highlight w:val="none"/>
                <w:lang w:val="en-US" w:eastAsia="zh-CN"/>
              </w:rPr>
              <w:t>根据投标人提供的项目实施服务方案实施评分：</w:t>
            </w:r>
          </w:p>
          <w:p w14:paraId="30A39287">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（1）服务方案中，具备完善的服务流程、服务团队、规章制度、售后服务等，能够依据其实施售后服务跟进反馈及投诉处置，明确承诺售后解决时效的，得9-16分；</w:t>
            </w:r>
          </w:p>
          <w:p w14:paraId="64AF557B">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（2）服务方案中，具备较完善的服务流程、服务团队、规章制度、售后服务等，能够较好依据其实施售后服务跟进反馈及投诉处置，承诺售后解决时效的，得1-8分；</w:t>
            </w:r>
          </w:p>
          <w:p w14:paraId="1B820D06">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（3）服务方案差或无服务方案，不得分。</w:t>
            </w:r>
          </w:p>
          <w:p w14:paraId="1E3361B9">
            <w:pPr>
              <w:keepNext w:val="0"/>
              <w:keepLines w:val="0"/>
              <w:widowControl/>
              <w:spacing w:line="240" w:lineRule="auto"/>
              <w:ind w:firstLine="0" w:firstLineChars="0"/>
              <w:jc w:val="left"/>
              <w:rPr>
                <w:rFonts w:hint="default" w:ascii="Times New Roman" w:hAnsi="Times New Roman" w:eastAsia="宋体" w:cstheme="minorEastAsia"/>
                <w:bCs/>
                <w:smallCaps w:val="0"/>
                <w:color w:val="0000FF"/>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 w:val="0"/>
                <w:bCs/>
                <w:smallCaps w:val="0"/>
                <w:color w:val="auto"/>
                <w:sz w:val="20"/>
                <w:szCs w:val="20"/>
                <w:highlight w:val="none"/>
                <w:lang w:val="en-US" w:eastAsia="zh-CN"/>
              </w:rPr>
              <w:t>投标人需提供拟投入本项目的服务方案，其中</w:t>
            </w:r>
            <w:r>
              <w:rPr>
                <w:rFonts w:hint="eastAsia" w:ascii="Times New Roman" w:hAnsi="Times New Roman" w:eastAsia="宋体" w:cstheme="minorEastAsia"/>
                <w:bCs/>
                <w:smallCaps w:val="0"/>
                <w:color w:val="auto"/>
                <w:sz w:val="20"/>
                <w:szCs w:val="20"/>
                <w:highlight w:val="none"/>
                <w:lang w:val="en-US" w:eastAsia="zh-CN"/>
              </w:rPr>
              <w:t>服务团队</w:t>
            </w:r>
            <w:r>
              <w:rPr>
                <w:rFonts w:hint="eastAsia" w:ascii="Times New Roman" w:hAnsi="Times New Roman" w:eastAsia="宋体" w:cstheme="minorEastAsia"/>
                <w:b w:val="0"/>
                <w:bCs/>
                <w:smallCaps w:val="0"/>
                <w:color w:val="auto"/>
                <w:sz w:val="20"/>
                <w:szCs w:val="20"/>
                <w:highlight w:val="none"/>
                <w:lang w:val="en-US" w:eastAsia="zh-CN"/>
              </w:rPr>
              <w:t>“格式参见本招标文件“第四章 投标文件格式 格式4 服务团队成员名单”。</w:t>
            </w:r>
          </w:p>
        </w:tc>
        <w:tc>
          <w:tcPr>
            <w:tcW w:w="896" w:type="dxa"/>
            <w:tcBorders>
              <w:tl2br w:val="nil"/>
              <w:tr2bl w:val="nil"/>
            </w:tcBorders>
            <w:vAlign w:val="center"/>
          </w:tcPr>
          <w:p w14:paraId="63DCE0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16分</w:t>
            </w:r>
          </w:p>
        </w:tc>
      </w:tr>
      <w:tr w14:paraId="1640D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666" w:type="dxa"/>
            <w:tcBorders>
              <w:tl2br w:val="nil"/>
              <w:tr2bl w:val="nil"/>
            </w:tcBorders>
            <w:vAlign w:val="center"/>
          </w:tcPr>
          <w:p w14:paraId="4E3503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7</w:t>
            </w:r>
          </w:p>
        </w:tc>
        <w:tc>
          <w:tcPr>
            <w:tcW w:w="1091" w:type="dxa"/>
            <w:tcBorders>
              <w:tl2br w:val="nil"/>
              <w:tr2bl w:val="nil"/>
            </w:tcBorders>
            <w:vAlign w:val="center"/>
          </w:tcPr>
          <w:p w14:paraId="4E519AA2">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color w:val="auto"/>
                <w:sz w:val="20"/>
                <w:szCs w:val="20"/>
                <w:highlight w:val="none"/>
                <w:lang w:val="en-US" w:eastAsia="zh-CN"/>
              </w:rPr>
            </w:pPr>
            <w:r>
              <w:rPr>
                <w:rStyle w:val="20"/>
                <w:rFonts w:hint="eastAsia" w:ascii="Times New Roman" w:hAnsi="Times New Roman" w:eastAsia="宋体" w:cstheme="minorEastAsia"/>
                <w:b/>
                <w:bCs w:val="0"/>
                <w:smallCaps w:val="0"/>
                <w:color w:val="auto"/>
                <w:sz w:val="20"/>
                <w:szCs w:val="20"/>
                <w:highlight w:val="none"/>
                <w:lang w:val="en-US" w:eastAsia="zh-CN"/>
              </w:rPr>
              <w:t>团队支持及随附增值 服务</w:t>
            </w:r>
          </w:p>
        </w:tc>
        <w:tc>
          <w:tcPr>
            <w:tcW w:w="7495" w:type="dxa"/>
            <w:tcBorders>
              <w:tl2br w:val="nil"/>
              <w:tr2bl w:val="nil"/>
            </w:tcBorders>
            <w:vAlign w:val="center"/>
          </w:tcPr>
          <w:p w14:paraId="0499A2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r>
              <w:rPr>
                <w:rFonts w:hint="eastAsia" w:ascii="Times New Roman" w:hAnsi="Times New Roman" w:eastAsia="宋体" w:cstheme="minorEastAsia"/>
                <w:bCs/>
                <w:smallCaps w:val="0"/>
                <w:sz w:val="20"/>
                <w:szCs w:val="20"/>
                <w:highlight w:val="none"/>
                <w:lang w:val="en-US" w:eastAsia="zh-CN"/>
              </w:rPr>
              <w:t>根据投标人填制的《招标文件响应偏离表》实施打分，具体如下：</w:t>
            </w:r>
          </w:p>
          <w:p w14:paraId="241E0A18">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1.对招标文件所有内容无偏离，此项得5分；</w:t>
            </w:r>
          </w:p>
          <w:p w14:paraId="69395A55">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2.除招标人所示服务要求外，服务方案中每提出一项正偏离（额外增值服务）的加2分，总分不超过10分。</w:t>
            </w:r>
          </w:p>
          <w:p w14:paraId="08C88EC8">
            <w:pPr>
              <w:keepNext w:val="0"/>
              <w:keepLines w:val="0"/>
              <w:widowControl/>
              <w:spacing w:line="240" w:lineRule="auto"/>
              <w:ind w:firstLine="400" w:firstLineChars="200"/>
              <w:jc w:val="left"/>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3.每出现1项负偏离扣2分，合计出现3项及以上偏离，此项不得分。</w:t>
            </w:r>
          </w:p>
          <w:p w14:paraId="3DCF85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Cs/>
                <w:smallCaps w:val="0"/>
                <w:sz w:val="20"/>
                <w:szCs w:val="20"/>
                <w:highlight w:val="none"/>
              </w:rPr>
              <w:t>根据投标人</w:t>
            </w:r>
            <w:r>
              <w:rPr>
                <w:rFonts w:hint="eastAsia" w:ascii="Times New Roman" w:hAnsi="Times New Roman" w:eastAsia="宋体" w:cstheme="minorEastAsia"/>
                <w:bCs/>
                <w:smallCaps w:val="0"/>
                <w:sz w:val="20"/>
                <w:szCs w:val="20"/>
                <w:highlight w:val="none"/>
                <w:lang w:val="en-US" w:eastAsia="zh-CN"/>
              </w:rPr>
              <w:t>填制加盖公章</w:t>
            </w:r>
            <w:r>
              <w:rPr>
                <w:rFonts w:hint="eastAsia" w:ascii="Times New Roman" w:hAnsi="Times New Roman" w:eastAsia="宋体" w:cstheme="minorEastAsia"/>
                <w:bCs/>
                <w:smallCaps w:val="0"/>
                <w:sz w:val="20"/>
                <w:szCs w:val="20"/>
                <w:highlight w:val="none"/>
              </w:rPr>
              <w:t>的《</w:t>
            </w:r>
            <w:r>
              <w:rPr>
                <w:rFonts w:hint="eastAsia" w:ascii="Times New Roman" w:hAnsi="Times New Roman" w:eastAsia="宋体" w:cstheme="minorEastAsia"/>
                <w:bCs/>
                <w:smallCaps w:val="0"/>
                <w:sz w:val="20"/>
                <w:szCs w:val="20"/>
                <w:highlight w:val="none"/>
                <w:lang w:val="en-US" w:eastAsia="zh-CN"/>
              </w:rPr>
              <w:t>合同条款</w:t>
            </w:r>
            <w:r>
              <w:rPr>
                <w:rFonts w:hint="eastAsia" w:ascii="Times New Roman" w:hAnsi="Times New Roman" w:eastAsia="宋体" w:cstheme="minorEastAsia"/>
                <w:bCs/>
                <w:smallCaps w:val="0"/>
                <w:sz w:val="20"/>
                <w:szCs w:val="20"/>
                <w:highlight w:val="none"/>
              </w:rPr>
              <w:t>响应偏离表》实施打分</w:t>
            </w:r>
            <w:r>
              <w:rPr>
                <w:rFonts w:hint="eastAsia" w:ascii="Times New Roman" w:hAnsi="Times New Roman" w:eastAsia="宋体" w:cstheme="minorEastAsia"/>
                <w:bCs/>
                <w:smallCaps w:val="0"/>
                <w:sz w:val="20"/>
                <w:szCs w:val="20"/>
                <w:highlight w:val="none"/>
                <w:lang w:eastAsia="zh-CN"/>
              </w:rPr>
              <w:t>。</w:t>
            </w:r>
          </w:p>
        </w:tc>
        <w:tc>
          <w:tcPr>
            <w:tcW w:w="896" w:type="dxa"/>
            <w:tcBorders>
              <w:tl2br w:val="nil"/>
              <w:tr2bl w:val="nil"/>
            </w:tcBorders>
            <w:vAlign w:val="center"/>
          </w:tcPr>
          <w:p w14:paraId="6F8534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10分</w:t>
            </w:r>
          </w:p>
        </w:tc>
      </w:tr>
      <w:tr w14:paraId="587D0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252" w:type="dxa"/>
            <w:gridSpan w:val="3"/>
            <w:tcBorders>
              <w:tl2br w:val="nil"/>
              <w:tr2bl w:val="nil"/>
            </w:tcBorders>
            <w:vAlign w:val="center"/>
          </w:tcPr>
          <w:p w14:paraId="34D3E6EB">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合计</w:t>
            </w:r>
          </w:p>
        </w:tc>
        <w:tc>
          <w:tcPr>
            <w:tcW w:w="896" w:type="dxa"/>
            <w:tcBorders>
              <w:tl2br w:val="nil"/>
              <w:tr2bl w:val="nil"/>
            </w:tcBorders>
            <w:vAlign w:val="center"/>
          </w:tcPr>
          <w:p w14:paraId="0A022C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lang w:val="en-US" w:eastAsia="zh-CN"/>
              </w:rPr>
              <w:t>100</w:t>
            </w:r>
            <w:r>
              <w:rPr>
                <w:rFonts w:hint="eastAsia" w:ascii="Times New Roman" w:hAnsi="Times New Roman" w:eastAsia="宋体" w:cstheme="minorEastAsia"/>
                <w:b/>
                <w:smallCaps w:val="0"/>
                <w:sz w:val="20"/>
                <w:szCs w:val="20"/>
                <w:highlight w:val="none"/>
              </w:rPr>
              <w:t>分</w:t>
            </w:r>
          </w:p>
        </w:tc>
      </w:tr>
    </w:tbl>
    <w:p w14:paraId="3834CC8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mallCaps w:val="0"/>
          <w:sz w:val="21"/>
          <w:szCs w:val="21"/>
          <w:highlight w:val="none"/>
        </w:rPr>
      </w:pPr>
      <w:r>
        <w:rPr>
          <w:rFonts w:hint="eastAsia" w:ascii="Times New Roman" w:hAnsi="Times New Roman" w:eastAsia="仿宋" w:cs="仿宋"/>
          <w:b/>
          <w:smallCaps w:val="0"/>
          <w:sz w:val="21"/>
          <w:szCs w:val="21"/>
          <w:highlight w:val="none"/>
        </w:rPr>
        <w:t>说明：</w:t>
      </w:r>
      <w:r>
        <w:rPr>
          <w:rFonts w:hint="eastAsia" w:ascii="仿宋_GB2312" w:hAnsi="仿宋_GB2312" w:eastAsia="仿宋_GB2312" w:cs="仿宋_GB2312"/>
          <w:smallCaps w:val="0"/>
          <w:sz w:val="21"/>
          <w:szCs w:val="21"/>
          <w:highlight w:val="none"/>
        </w:rPr>
        <w:t>1.本表评审依据要求的各项证明文件须编入投标文件，复印件加盖投标人公章。</w:t>
      </w:r>
    </w:p>
    <w:p w14:paraId="709E35BC">
      <w:pPr>
        <w:keepNext w:val="0"/>
        <w:keepLines w:val="0"/>
        <w:widowControl/>
        <w:adjustRightInd w:val="0"/>
        <w:snapToGrid w:val="0"/>
        <w:spacing w:line="240" w:lineRule="auto"/>
        <w:ind w:firstLine="630" w:firstLineChars="300"/>
        <w:rPr>
          <w:rFonts w:hint="eastAsia" w:ascii="仿宋_GB2312" w:hAnsi="仿宋_GB2312" w:eastAsia="仿宋_GB2312" w:cs="仿宋_GB2312"/>
          <w:smallCaps w:val="0"/>
          <w:sz w:val="21"/>
          <w:szCs w:val="21"/>
          <w:highlight w:val="none"/>
        </w:rPr>
      </w:pPr>
      <w:r>
        <w:rPr>
          <w:rFonts w:hint="eastAsia" w:ascii="仿宋_GB2312" w:hAnsi="仿宋_GB2312" w:eastAsia="仿宋_GB2312" w:cs="仿宋_GB2312"/>
          <w:smallCaps w:val="0"/>
          <w:sz w:val="21"/>
          <w:szCs w:val="21"/>
          <w:highlight w:val="none"/>
        </w:rPr>
        <w:t>2.表中要求提供相关证明文件的内容，投标文件中须明确加以说明并提供，未按要求提供相关文件或说明不清楚或评标专家组无法凭所提供的材料判断是否得分的情况，一律作不得分处理。</w:t>
      </w:r>
    </w:p>
    <w:p w14:paraId="0D571F56">
      <w:pPr>
        <w:keepNext w:val="0"/>
        <w:keepLines w:val="0"/>
        <w:widowControl/>
        <w:adjustRightInd w:val="0"/>
        <w:snapToGrid w:val="0"/>
        <w:spacing w:line="240" w:lineRule="auto"/>
        <w:ind w:firstLine="630" w:firstLineChars="300"/>
        <w:rPr>
          <w:rFonts w:hint="eastAsia" w:ascii="仿宋_GB2312" w:hAnsi="仿宋_GB2312" w:eastAsia="仿宋_GB2312" w:cs="仿宋_GB2312"/>
          <w:smallCaps w:val="0"/>
          <w:sz w:val="21"/>
          <w:szCs w:val="21"/>
          <w:highlight w:val="none"/>
          <w:lang w:val="en-US" w:eastAsia="zh-CN"/>
        </w:rPr>
      </w:pPr>
      <w:r>
        <w:rPr>
          <w:rFonts w:hint="eastAsia" w:ascii="仿宋_GB2312" w:hAnsi="仿宋_GB2312" w:eastAsia="仿宋_GB2312" w:cs="仿宋_GB2312"/>
          <w:smallCaps w:val="0"/>
          <w:sz w:val="21"/>
          <w:szCs w:val="21"/>
          <w:highlight w:val="none"/>
          <w:lang w:val="en-US" w:eastAsia="zh-CN"/>
        </w:rPr>
        <w:t>3.本表要求提交的所有复印件需清晰完整，否则招标人有权视为无效，并根据具体文件性质予以扣减或废标处理。</w:t>
      </w:r>
    </w:p>
    <w:p w14:paraId="7D6C9F19">
      <w:pPr>
        <w:keepNext w:val="0"/>
        <w:keepLines w:val="0"/>
        <w:widowControl/>
        <w:adjustRightInd w:val="0"/>
        <w:snapToGrid w:val="0"/>
        <w:spacing w:line="240" w:lineRule="auto"/>
        <w:ind w:firstLine="630" w:firstLineChars="300"/>
        <w:rPr>
          <w:rFonts w:hint="default" w:ascii="Times New Roman" w:hAnsi="Times New Roman" w:eastAsia="仿宋" w:cs="仿宋"/>
          <w:smallCaps w:val="0"/>
          <w:sz w:val="21"/>
          <w:szCs w:val="21"/>
          <w:highlight w:val="none"/>
          <w:lang w:val="en-US" w:eastAsia="zh-CN"/>
        </w:rPr>
      </w:pPr>
      <w:r>
        <w:rPr>
          <w:rFonts w:hint="eastAsia" w:ascii="仿宋_GB2312" w:hAnsi="仿宋_GB2312" w:eastAsia="仿宋_GB2312" w:cs="仿宋_GB2312"/>
          <w:smallCaps w:val="0"/>
          <w:sz w:val="21"/>
          <w:szCs w:val="21"/>
          <w:highlight w:val="none"/>
          <w:lang w:val="en-US" w:eastAsia="zh-CN"/>
        </w:rPr>
        <w:t>4.以上评分项目投标人若虚假提供，若经核查，虚假情况属实，投标人3年内不得参与招标人的其他</w:t>
      </w:r>
      <w:r>
        <w:rPr>
          <w:rFonts w:hint="eastAsia" w:ascii="Times New Roman" w:hAnsi="Times New Roman" w:eastAsia="仿宋" w:cs="仿宋"/>
          <w:smallCaps w:val="0"/>
          <w:sz w:val="21"/>
          <w:szCs w:val="21"/>
          <w:highlight w:val="none"/>
          <w:lang w:val="en-US" w:eastAsia="zh-CN"/>
        </w:rPr>
        <w:t>采购项目，本次投标作废标处理。</w:t>
      </w:r>
    </w:p>
    <w:p w14:paraId="2ED019B5">
      <w:pPr>
        <w:keepNext/>
        <w:keepLines/>
        <w:pageBreakBefore w:val="0"/>
        <w:widowControl/>
        <w:numPr>
          <w:ilvl w:val="3"/>
          <w:numId w:val="0"/>
        </w:numPr>
        <w:kinsoku/>
        <w:wordWrap/>
        <w:overflowPunct/>
        <w:topLinePunct w:val="0"/>
        <w:autoSpaceDE/>
        <w:autoSpaceDN/>
        <w:bidi w:val="0"/>
        <w:adjustRightInd w:val="0"/>
        <w:snapToGrid w:val="0"/>
        <w:spacing w:line="560" w:lineRule="exact"/>
        <w:ind w:firstLine="643" w:firstLineChars="200"/>
        <w:jc w:val="left"/>
        <w:textAlignment w:val="auto"/>
        <w:outlineLvl w:val="3"/>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32"/>
          <w:szCs w:val="32"/>
          <w:highlight w:val="none"/>
        </w:rPr>
        <w:br w:type="page"/>
      </w:r>
      <w:r>
        <w:rPr>
          <w:rFonts w:hint="eastAsia" w:ascii="Times New Roman" w:hAnsi="Times New Roman" w:eastAsia="仿宋" w:cs="仿宋"/>
          <w:b/>
          <w:smallCaps w:val="0"/>
          <w:sz w:val="21"/>
          <w:szCs w:val="21"/>
          <w:highlight w:val="none"/>
        </w:rPr>
        <w:t xml:space="preserve"> 附表2-1 《价格标评分方法》</w:t>
      </w:r>
    </w:p>
    <w:p w14:paraId="63EB9C3B">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价格标评分方法</w:t>
      </w:r>
    </w:p>
    <w:tbl>
      <w:tblPr>
        <w:tblStyle w:val="15"/>
        <w:tblW w:w="9659" w:type="dxa"/>
        <w:tblInd w:w="-2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83"/>
        <w:gridCol w:w="2558"/>
        <w:gridCol w:w="912"/>
        <w:gridCol w:w="3842"/>
      </w:tblGrid>
      <w:tr w14:paraId="78AB6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 w:type="dxa"/>
            <w:tcBorders>
              <w:tl2br w:val="nil"/>
              <w:tr2bl w:val="nil"/>
            </w:tcBorders>
            <w:vAlign w:val="center"/>
          </w:tcPr>
          <w:p w14:paraId="07378E99">
            <w:pPr>
              <w:spacing w:line="280" w:lineRule="exact"/>
              <w:jc w:val="center"/>
              <w:rPr>
                <w:rFonts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序号</w:t>
            </w:r>
          </w:p>
        </w:tc>
        <w:tc>
          <w:tcPr>
            <w:tcW w:w="1583" w:type="dxa"/>
            <w:tcBorders>
              <w:tl2br w:val="nil"/>
              <w:tr2bl w:val="nil"/>
            </w:tcBorders>
            <w:vAlign w:val="center"/>
          </w:tcPr>
          <w:p w14:paraId="7AE85B0C">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评分因素</w:t>
            </w:r>
          </w:p>
        </w:tc>
        <w:tc>
          <w:tcPr>
            <w:tcW w:w="2558" w:type="dxa"/>
            <w:tcBorders>
              <w:tl2br w:val="nil"/>
              <w:tr2bl w:val="nil"/>
            </w:tcBorders>
            <w:vAlign w:val="center"/>
          </w:tcPr>
          <w:p w14:paraId="65E9157B">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评分准则</w:t>
            </w:r>
          </w:p>
        </w:tc>
        <w:tc>
          <w:tcPr>
            <w:tcW w:w="912" w:type="dxa"/>
            <w:tcBorders>
              <w:tl2br w:val="nil"/>
              <w:tr2bl w:val="nil"/>
            </w:tcBorders>
            <w:vAlign w:val="center"/>
          </w:tcPr>
          <w:p w14:paraId="630D2AF0">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分值</w:t>
            </w:r>
          </w:p>
        </w:tc>
        <w:tc>
          <w:tcPr>
            <w:tcW w:w="3842" w:type="dxa"/>
            <w:tcBorders>
              <w:tl2br w:val="nil"/>
              <w:tr2bl w:val="nil"/>
            </w:tcBorders>
            <w:vAlign w:val="center"/>
          </w:tcPr>
          <w:p w14:paraId="1B9B8CED">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备注</w:t>
            </w:r>
          </w:p>
        </w:tc>
      </w:tr>
      <w:tr w14:paraId="50993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64" w:type="dxa"/>
            <w:tcBorders>
              <w:tl2br w:val="nil"/>
              <w:tr2bl w:val="nil"/>
            </w:tcBorders>
            <w:vAlign w:val="center"/>
          </w:tcPr>
          <w:p w14:paraId="22697FE0">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1</w:t>
            </w:r>
          </w:p>
        </w:tc>
        <w:tc>
          <w:tcPr>
            <w:tcW w:w="1583" w:type="dxa"/>
            <w:tcBorders>
              <w:tl2br w:val="nil"/>
              <w:tr2bl w:val="nil"/>
            </w:tcBorders>
            <w:vAlign w:val="center"/>
          </w:tcPr>
          <w:p w14:paraId="7DE1966E">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项目总报价</w:t>
            </w:r>
          </w:p>
        </w:tc>
        <w:tc>
          <w:tcPr>
            <w:tcW w:w="2558" w:type="dxa"/>
            <w:tcBorders>
              <w:tl2br w:val="nil"/>
              <w:tr2bl w:val="nil"/>
            </w:tcBorders>
            <w:vAlign w:val="center"/>
          </w:tcPr>
          <w:p w14:paraId="0437BA9C">
            <w:pPr>
              <w:spacing w:line="280" w:lineRule="exact"/>
              <w:jc w:val="left"/>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在商务技术满足基准要求的前提下，项目总报价最低的投标人得满分，第二名得分80分，第三名得分60分，以此类推。</w:t>
            </w:r>
          </w:p>
        </w:tc>
        <w:tc>
          <w:tcPr>
            <w:tcW w:w="912" w:type="dxa"/>
            <w:tcBorders>
              <w:tl2br w:val="nil"/>
              <w:tr2bl w:val="nil"/>
            </w:tcBorders>
            <w:vAlign w:val="center"/>
          </w:tcPr>
          <w:p w14:paraId="4F081F49">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100分</w:t>
            </w:r>
          </w:p>
        </w:tc>
        <w:tc>
          <w:tcPr>
            <w:tcW w:w="3842" w:type="dxa"/>
            <w:tcBorders>
              <w:tl2br w:val="nil"/>
              <w:tr2bl w:val="nil"/>
            </w:tcBorders>
            <w:vAlign w:val="center"/>
          </w:tcPr>
          <w:p w14:paraId="040D8614">
            <w:pPr>
              <w:spacing w:line="280" w:lineRule="exact"/>
              <w:jc w:val="center"/>
              <w:rPr>
                <w:rFonts w:ascii="Times New Roman" w:hAnsi="Times New Roman" w:eastAsia="宋体" w:cs="Times New Roman"/>
                <w:bCs/>
                <w:smallCaps w:val="0"/>
                <w:sz w:val="21"/>
                <w:szCs w:val="21"/>
                <w:highlight w:val="none"/>
              </w:rPr>
            </w:pPr>
          </w:p>
        </w:tc>
      </w:tr>
      <w:tr w14:paraId="61685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05" w:type="dxa"/>
            <w:gridSpan w:val="3"/>
            <w:tcBorders>
              <w:tl2br w:val="nil"/>
              <w:tr2bl w:val="nil"/>
            </w:tcBorders>
            <w:vAlign w:val="center"/>
          </w:tcPr>
          <w:p w14:paraId="7562A807">
            <w:pPr>
              <w:widowControl/>
              <w:spacing w:line="400" w:lineRule="exact"/>
              <w:jc w:val="center"/>
              <w:rPr>
                <w:rFonts w:ascii="Times New Roman" w:hAnsi="Times New Roman" w:eastAsia="宋体" w:cs="Arial"/>
                <w:b/>
                <w:smallCaps w:val="0"/>
                <w:kern w:val="0"/>
                <w:sz w:val="21"/>
                <w:szCs w:val="21"/>
                <w:highlight w:val="none"/>
              </w:rPr>
            </w:pPr>
            <w:r>
              <w:rPr>
                <w:rFonts w:hint="eastAsia" w:ascii="Times New Roman" w:hAnsi="Times New Roman" w:eastAsia="宋体" w:cs="Arial"/>
                <w:b/>
                <w:smallCaps w:val="0"/>
                <w:kern w:val="0"/>
                <w:sz w:val="21"/>
                <w:szCs w:val="21"/>
                <w:highlight w:val="none"/>
              </w:rPr>
              <w:t>合计</w:t>
            </w:r>
          </w:p>
        </w:tc>
        <w:tc>
          <w:tcPr>
            <w:tcW w:w="912" w:type="dxa"/>
            <w:tcBorders>
              <w:tl2br w:val="nil"/>
              <w:tr2bl w:val="nil"/>
            </w:tcBorders>
            <w:vAlign w:val="center"/>
          </w:tcPr>
          <w:p w14:paraId="72929862">
            <w:pPr>
              <w:widowControl/>
              <w:spacing w:line="400" w:lineRule="exact"/>
              <w:jc w:val="center"/>
              <w:rPr>
                <w:rFonts w:ascii="Times New Roman" w:hAnsi="Times New Roman" w:eastAsia="宋体" w:cs="Arial"/>
                <w:b/>
                <w:smallCaps w:val="0"/>
                <w:kern w:val="0"/>
                <w:sz w:val="21"/>
                <w:szCs w:val="21"/>
                <w:highlight w:val="none"/>
              </w:rPr>
            </w:pPr>
            <w:r>
              <w:rPr>
                <w:rFonts w:hint="eastAsia" w:ascii="Times New Roman" w:hAnsi="Times New Roman" w:eastAsia="宋体" w:cs="Arial"/>
                <w:b/>
                <w:smallCaps w:val="0"/>
                <w:kern w:val="0"/>
                <w:sz w:val="21"/>
                <w:szCs w:val="21"/>
                <w:highlight w:val="none"/>
              </w:rPr>
              <w:t>100分</w:t>
            </w:r>
          </w:p>
        </w:tc>
        <w:tc>
          <w:tcPr>
            <w:tcW w:w="3842" w:type="dxa"/>
            <w:tcBorders>
              <w:tl2br w:val="nil"/>
              <w:tr2bl w:val="nil"/>
            </w:tcBorders>
            <w:vAlign w:val="center"/>
          </w:tcPr>
          <w:p w14:paraId="7CF3B740">
            <w:pPr>
              <w:widowControl/>
              <w:spacing w:line="400" w:lineRule="exact"/>
              <w:jc w:val="center"/>
              <w:rPr>
                <w:rFonts w:ascii="Times New Roman" w:hAnsi="Times New Roman" w:eastAsia="宋体" w:cs="Arial"/>
                <w:b/>
                <w:smallCaps w:val="0"/>
                <w:kern w:val="0"/>
                <w:sz w:val="21"/>
                <w:szCs w:val="21"/>
                <w:highlight w:val="none"/>
              </w:rPr>
            </w:pPr>
          </w:p>
        </w:tc>
      </w:tr>
    </w:tbl>
    <w:p w14:paraId="29483E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Times New Roman" w:hAnsi="Times New Roman" w:eastAsia="仿宋" w:cs="仿宋"/>
          <w:b/>
          <w:bCs/>
          <w:smallCaps w:val="0"/>
          <w:szCs w:val="21"/>
          <w:highlight w:val="none"/>
        </w:rPr>
      </w:pPr>
    </w:p>
    <w:p w14:paraId="7EF3BA46">
      <w:pPr>
        <w:keepNext w:val="0"/>
        <w:keepLines w:val="0"/>
        <w:pageBreakBefore w:val="0"/>
        <w:widowControl/>
        <w:kinsoku/>
        <w:wordWrap/>
        <w:overflowPunct/>
        <w:topLinePunct w:val="0"/>
        <w:autoSpaceDE/>
        <w:autoSpaceDN/>
        <w:bidi w:val="0"/>
        <w:adjustRightInd w:val="0"/>
        <w:snapToGrid w:val="0"/>
        <w:spacing w:line="280" w:lineRule="exact"/>
        <w:ind w:firstLine="422" w:firstLineChars="200"/>
        <w:textAlignment w:val="auto"/>
        <w:rPr>
          <w:rFonts w:hint="eastAsia" w:ascii="Times New Roman" w:hAnsi="Times New Roman" w:eastAsia="仿宋" w:cs="仿宋"/>
          <w:b/>
          <w:bCs/>
          <w:smallCaps w:val="0"/>
          <w:szCs w:val="21"/>
          <w:highlight w:val="none"/>
        </w:rPr>
      </w:pPr>
      <w:r>
        <w:rPr>
          <w:rFonts w:hint="eastAsia" w:ascii="Times New Roman" w:hAnsi="Times New Roman" w:eastAsia="仿宋" w:cs="仿宋"/>
          <w:b/>
          <w:bCs/>
          <w:smallCaps w:val="0"/>
          <w:szCs w:val="21"/>
          <w:highlight w:val="none"/>
        </w:rPr>
        <w:t>说明：</w:t>
      </w:r>
    </w:p>
    <w:p w14:paraId="15B2BF99">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(1)评标价格的计算：</w:t>
      </w:r>
    </w:p>
    <w:p w14:paraId="00B4FA37">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(2)投标文件存在投标报价问题的，进行投标报价的算术修正，投标报价算术修正具体原则为：</w:t>
      </w:r>
    </w:p>
    <w:p w14:paraId="429BA496">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1）若投标报价一览表中投标价与投标文件中投标价格不一致，以投标报价一览表为准；</w:t>
      </w:r>
    </w:p>
    <w:p w14:paraId="59A9D548">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2）当小写金额与大写金额有差异时，以大写金额为准（有明显错误的除外）；</w:t>
      </w:r>
    </w:p>
    <w:p w14:paraId="46FD7F4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3）单价金额小数点有明显错位的，应以总价为准，并修改单价；</w:t>
      </w:r>
    </w:p>
    <w:p w14:paraId="51B69DFE">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4"/>
          <w:highlight w:val="none"/>
        </w:rPr>
        <w:t>4）投标报价为各分项报价金额之和</w:t>
      </w:r>
      <w:r>
        <w:rPr>
          <w:rFonts w:hint="eastAsia" w:ascii="仿宋_GB2312" w:hAnsi="仿宋_GB2312" w:eastAsia="仿宋_GB2312" w:cs="仿宋_GB2312"/>
          <w:bCs/>
          <w:smallCaps w:val="0"/>
          <w:szCs w:val="24"/>
          <w:highlight w:val="none"/>
          <w:lang w:eastAsia="zh-CN"/>
        </w:rPr>
        <w:t>（</w:t>
      </w:r>
      <w:r>
        <w:rPr>
          <w:rFonts w:hint="eastAsia" w:ascii="仿宋_GB2312" w:hAnsi="仿宋_GB2312" w:eastAsia="仿宋_GB2312" w:cs="仿宋_GB2312"/>
          <w:bCs/>
          <w:smallCaps w:val="0"/>
          <w:szCs w:val="24"/>
          <w:highlight w:val="none"/>
          <w:lang w:val="en-US" w:eastAsia="zh-CN"/>
        </w:rPr>
        <w:t>含增值税）</w:t>
      </w:r>
      <w:r>
        <w:rPr>
          <w:rFonts w:hint="eastAsia" w:ascii="仿宋_GB2312" w:hAnsi="仿宋_GB2312" w:eastAsia="仿宋_GB2312" w:cs="仿宋_GB2312"/>
          <w:bCs/>
          <w:smallCaps w:val="0"/>
          <w:szCs w:val="24"/>
          <w:highlight w:val="none"/>
        </w:rPr>
        <w:t>，总价金额与依据单价计算出的结果不一致的，以单价</w:t>
      </w:r>
      <w:r>
        <w:rPr>
          <w:rFonts w:hint="eastAsia" w:ascii="仿宋_GB2312" w:hAnsi="仿宋_GB2312" w:eastAsia="仿宋_GB2312" w:cs="仿宋_GB2312"/>
          <w:bCs/>
          <w:smallCaps w:val="0"/>
          <w:szCs w:val="21"/>
          <w:highlight w:val="none"/>
        </w:rPr>
        <w:t>合同金额以经修正后的投标报价为准，缺漏项部分由投标人自行承担。</w:t>
      </w:r>
    </w:p>
    <w:p w14:paraId="659A823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(3)价格标评分的计算：</w:t>
      </w:r>
    </w:p>
    <w:p w14:paraId="02B83851">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评标专家组按附表2-1《价格标评分方法》进行评分。</w:t>
      </w:r>
    </w:p>
    <w:p w14:paraId="296DDDB7">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shd w:val="clear" w:color="auto" w:fill="FFFF00"/>
        </w:rPr>
      </w:pPr>
      <w:r>
        <w:rPr>
          <w:rFonts w:hint="eastAsia" w:ascii="仿宋_GB2312" w:hAnsi="仿宋_GB2312" w:eastAsia="仿宋_GB2312" w:cs="仿宋_GB2312"/>
          <w:bCs/>
          <w:smallCaps w:val="0"/>
          <w:szCs w:val="24"/>
          <w:highlight w:val="none"/>
        </w:rPr>
        <w:t>经以上算法得出的数值即为投标人的价格得分（计算过程及计算结果四舍五入保留小数点后两位）。价格得分为负数时，</w:t>
      </w:r>
      <w:r>
        <w:rPr>
          <w:rFonts w:hint="eastAsia" w:ascii="Times New Roman" w:hAnsi="Times New Roman" w:eastAsia="仿宋_GB2312" w:cs="仿宋_GB2312"/>
          <w:bCs/>
          <w:smallCaps w:val="0"/>
          <w:sz w:val="21"/>
          <w:szCs w:val="24"/>
          <w:highlight w:val="none"/>
        </w:rPr>
        <w:t>计为0分。</w:t>
      </w:r>
    </w:p>
    <w:p w14:paraId="062C1360">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color w:val="FF0000"/>
          <w:sz w:val="32"/>
          <w:szCs w:val="32"/>
          <w:highlight w:val="none"/>
        </w:rPr>
      </w:pPr>
    </w:p>
    <w:p w14:paraId="359A2AF2">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74195128">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107368AB">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0CF8E6D4">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r>
        <w:rPr>
          <w:rFonts w:hint="eastAsia" w:ascii="Times New Roman" w:hAnsi="Times New Roman" w:eastAsia="仿宋" w:cs="仿宋"/>
          <w:b/>
          <w:smallCaps w:val="0"/>
          <w:sz w:val="32"/>
          <w:szCs w:val="32"/>
          <w:highlight w:val="none"/>
        </w:rPr>
        <w:br w:type="page"/>
      </w:r>
    </w:p>
    <w:p w14:paraId="3B0792C3">
      <w:pPr>
        <w:keepNext/>
        <w:keepLines/>
        <w:pageBreakBefore w:val="0"/>
        <w:widowControl/>
        <w:numPr>
          <w:ilvl w:val="3"/>
          <w:numId w:val="0"/>
        </w:numPr>
        <w:kinsoku/>
        <w:overflowPunct/>
        <w:topLinePunct w:val="0"/>
        <w:autoSpaceDE/>
        <w:autoSpaceDN/>
        <w:bidi w:val="0"/>
        <w:adjustRightInd w:val="0"/>
        <w:snapToGrid w:val="0"/>
        <w:spacing w:line="560" w:lineRule="exact"/>
        <w:ind w:firstLine="422" w:firstLineChars="200"/>
        <w:outlineLvl w:val="3"/>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附表3-1 《商务技术标、价格标权重表》</w:t>
      </w:r>
    </w:p>
    <w:p w14:paraId="30BC6F89">
      <w:pPr>
        <w:keepNext/>
        <w:keepLines/>
        <w:pageBreakBefore w:val="0"/>
        <w:widowControl/>
        <w:numPr>
          <w:ilvl w:val="3"/>
          <w:numId w:val="0"/>
        </w:numPr>
        <w:kinsoku/>
        <w:overflowPunct/>
        <w:topLinePunct w:val="0"/>
        <w:autoSpaceDE/>
        <w:autoSpaceDN/>
        <w:bidi w:val="0"/>
        <w:adjustRightInd w:val="0"/>
        <w:snapToGrid w:val="0"/>
        <w:spacing w:line="560" w:lineRule="exact"/>
        <w:ind w:firstLine="422" w:firstLineChars="200"/>
        <w:outlineLvl w:val="3"/>
        <w:rPr>
          <w:rFonts w:hint="eastAsia" w:ascii="Times New Roman" w:hAnsi="Times New Roman" w:eastAsia="仿宋" w:cs="仿宋"/>
          <w:b/>
          <w:smallCaps w:val="0"/>
          <w:sz w:val="21"/>
          <w:szCs w:val="21"/>
          <w:highlight w:val="none"/>
        </w:rPr>
      </w:pPr>
    </w:p>
    <w:p w14:paraId="0A172FB5">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商务技术标、价格标权重表</w:t>
      </w:r>
    </w:p>
    <w:tbl>
      <w:tblPr>
        <w:tblStyle w:val="15"/>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024"/>
        <w:gridCol w:w="2772"/>
        <w:gridCol w:w="3213"/>
      </w:tblGrid>
      <w:tr w14:paraId="7CBA7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024" w:type="dxa"/>
            <w:tcBorders>
              <w:tl2br w:val="nil"/>
              <w:tr2bl w:val="nil"/>
            </w:tcBorders>
            <w:shd w:val="clear" w:color="auto" w:fill="FFFFFF" w:themeFill="background1"/>
            <w:vAlign w:val="center"/>
          </w:tcPr>
          <w:p w14:paraId="40E14A3F">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权重名称</w:t>
            </w:r>
          </w:p>
        </w:tc>
        <w:tc>
          <w:tcPr>
            <w:tcW w:w="2772" w:type="dxa"/>
            <w:tcBorders>
              <w:tl2br w:val="nil"/>
              <w:tr2bl w:val="nil"/>
            </w:tcBorders>
            <w:shd w:val="clear" w:color="auto" w:fill="FFFFFF" w:themeFill="background1"/>
            <w:vAlign w:val="center"/>
          </w:tcPr>
          <w:p w14:paraId="12BE6CC7">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商务技术权重</w:t>
            </w:r>
          </w:p>
        </w:tc>
        <w:tc>
          <w:tcPr>
            <w:tcW w:w="3213" w:type="dxa"/>
            <w:tcBorders>
              <w:tl2br w:val="nil"/>
              <w:tr2bl w:val="nil"/>
            </w:tcBorders>
            <w:shd w:val="clear" w:color="auto" w:fill="FFFFFF" w:themeFill="background1"/>
            <w:vAlign w:val="center"/>
          </w:tcPr>
          <w:p w14:paraId="05EB594B">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价格权重</w:t>
            </w:r>
          </w:p>
        </w:tc>
      </w:tr>
      <w:tr w14:paraId="19CA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2" w:hRule="atLeast"/>
          <w:jc w:val="center"/>
        </w:trPr>
        <w:tc>
          <w:tcPr>
            <w:tcW w:w="3024" w:type="dxa"/>
            <w:tcBorders>
              <w:tl2br w:val="nil"/>
              <w:tr2bl w:val="nil"/>
            </w:tcBorders>
            <w:shd w:val="clear" w:color="auto" w:fill="FFFFFF" w:themeFill="background1"/>
            <w:vAlign w:val="center"/>
          </w:tcPr>
          <w:p w14:paraId="1D49A123">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rPr>
              <w:t>权重</w:t>
            </w:r>
          </w:p>
        </w:tc>
        <w:tc>
          <w:tcPr>
            <w:tcW w:w="2772" w:type="dxa"/>
            <w:tcBorders>
              <w:tl2br w:val="nil"/>
              <w:tr2bl w:val="nil"/>
            </w:tcBorders>
            <w:shd w:val="clear" w:color="auto" w:fill="FFFFFF" w:themeFill="background1"/>
            <w:vAlign w:val="center"/>
          </w:tcPr>
          <w:p w14:paraId="5082A1F4">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lang w:val="en-US" w:eastAsia="zh-CN"/>
              </w:rPr>
              <w:t>50</w:t>
            </w:r>
            <w:r>
              <w:rPr>
                <w:rFonts w:hint="eastAsia" w:ascii="Times New Roman" w:hAnsi="Times New Roman" w:eastAsia="宋体" w:cs="仿宋"/>
                <w:bCs/>
                <w:smallCaps w:val="0"/>
                <w:sz w:val="24"/>
                <w:szCs w:val="24"/>
                <w:highlight w:val="none"/>
              </w:rPr>
              <w:t>%</w:t>
            </w:r>
          </w:p>
        </w:tc>
        <w:tc>
          <w:tcPr>
            <w:tcW w:w="3213" w:type="dxa"/>
            <w:tcBorders>
              <w:tl2br w:val="nil"/>
              <w:tr2bl w:val="nil"/>
            </w:tcBorders>
            <w:shd w:val="clear" w:color="auto" w:fill="FFFFFF" w:themeFill="background1"/>
            <w:vAlign w:val="center"/>
          </w:tcPr>
          <w:p w14:paraId="34F4835F">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lang w:val="en-US" w:eastAsia="zh-CN"/>
              </w:rPr>
              <w:t>50</w:t>
            </w:r>
            <w:r>
              <w:rPr>
                <w:rFonts w:hint="eastAsia" w:ascii="Times New Roman" w:hAnsi="Times New Roman" w:eastAsia="宋体" w:cs="仿宋"/>
                <w:bCs/>
                <w:smallCaps w:val="0"/>
                <w:sz w:val="24"/>
                <w:szCs w:val="24"/>
                <w:highlight w:val="none"/>
              </w:rPr>
              <w:t>%</w:t>
            </w:r>
          </w:p>
        </w:tc>
      </w:tr>
    </w:tbl>
    <w:p w14:paraId="3D18ECCF">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21"/>
          <w:szCs w:val="21"/>
          <w:highlight w:val="none"/>
        </w:rPr>
      </w:pPr>
    </w:p>
    <w:p w14:paraId="6F2E2FDA">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21"/>
          <w:szCs w:val="21"/>
          <w:highlight w:val="none"/>
        </w:rPr>
      </w:pPr>
    </w:p>
    <w:p w14:paraId="3B40DEF0">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F21E793">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5DC5328">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1F6538B">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2D958043">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36FBAA79">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2612556">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26BD1C8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C5DCC1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4E8751E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959A99E">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496346A7">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AA2E2E7">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1ED6B956">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B7DF559">
      <w:pPr>
        <w:pStyle w:val="3"/>
        <w:pageBreakBefore w:val="0"/>
        <w:widowControl w:val="0"/>
        <w:numPr>
          <w:ilvl w:val="0"/>
          <w:numId w:val="7"/>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mallCaps w:val="0"/>
          <w:highlight w:val="none"/>
        </w:rPr>
      </w:pPr>
      <w:bookmarkStart w:id="52" w:name="_Toc22811"/>
      <w:bookmarkStart w:id="53" w:name="_Toc6914"/>
      <w:r>
        <w:rPr>
          <w:rFonts w:hint="eastAsia" w:ascii="Times New Roman" w:hAnsi="Times New Roman" w:eastAsia="黑体" w:cs="黑体"/>
          <w:b w:val="0"/>
          <w:bCs/>
          <w:smallCaps w:val="0"/>
          <w:sz w:val="32"/>
          <w:szCs w:val="32"/>
          <w:highlight w:val="none"/>
        </w:rPr>
        <w:t>合同条款</w:t>
      </w:r>
      <w:bookmarkEnd w:id="52"/>
      <w:bookmarkEnd w:id="53"/>
    </w:p>
    <w:p w14:paraId="585CC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bCs/>
          <w:smallCaps w:val="0"/>
          <w:sz w:val="44"/>
          <w:szCs w:val="44"/>
          <w:highlight w:val="none"/>
          <w:lang w:val="en-US" w:eastAsia="zh-CN"/>
        </w:rPr>
      </w:pPr>
      <w:bookmarkStart w:id="54" w:name="_Toc27794"/>
      <w:r>
        <w:rPr>
          <w:rFonts w:hint="eastAsia" w:ascii="Times New Roman" w:hAnsi="Times New Roman" w:eastAsia="方正小标宋简体" w:cs="方正小标宋简体"/>
          <w:b w:val="0"/>
          <w:bCs w:val="0"/>
          <w:smallCaps w:val="0"/>
          <w:sz w:val="44"/>
          <w:szCs w:val="44"/>
          <w:highlight w:val="none"/>
          <w:lang w:val="en-US" w:eastAsia="zh-CN"/>
        </w:rPr>
        <w:t>2025-2026年度电脑设备租赁</w:t>
      </w:r>
      <w:r>
        <w:rPr>
          <w:rFonts w:hint="eastAsia" w:ascii="Times New Roman" w:hAnsi="Times New Roman" w:eastAsia="方正小标宋简体" w:cs="方正小标宋简体"/>
          <w:b w:val="0"/>
          <w:bCs w:val="0"/>
          <w:smallCaps w:val="0"/>
          <w:sz w:val="44"/>
          <w:szCs w:val="44"/>
          <w:highlight w:val="none"/>
          <w:lang w:eastAsia="zh-CN"/>
        </w:rPr>
        <w:t>服务</w:t>
      </w:r>
      <w:r>
        <w:rPr>
          <w:rFonts w:hint="eastAsia" w:ascii="Times New Roman" w:hAnsi="Times New Roman" w:eastAsia="方正小标宋简体" w:cs="方正小标宋简体"/>
          <w:b w:val="0"/>
          <w:bCs w:val="0"/>
          <w:smallCaps w:val="0"/>
          <w:sz w:val="44"/>
          <w:szCs w:val="44"/>
          <w:highlight w:val="none"/>
          <w:lang w:val="en-US" w:eastAsia="zh-CN"/>
        </w:rPr>
        <w:t>采购合同</w:t>
      </w:r>
    </w:p>
    <w:p w14:paraId="7EFBA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b/>
          <w:bCs/>
          <w:smallCaps w:val="0"/>
          <w:sz w:val="32"/>
          <w:szCs w:val="32"/>
          <w:highlight w:val="none"/>
          <w:lang w:val="en-US" w:eastAsia="zh-CN"/>
        </w:rPr>
      </w:pPr>
    </w:p>
    <w:p w14:paraId="23062F2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甲方：</w:t>
      </w:r>
      <w:r>
        <w:rPr>
          <w:rFonts w:hint="eastAsia" w:ascii="Times New Roman" w:hAnsi="Times New Roman" w:eastAsia="仿宋_GB2312" w:cs="仿宋_GB2312"/>
          <w:smallCaps w:val="0"/>
          <w:sz w:val="32"/>
          <w:szCs w:val="32"/>
          <w:highlight w:val="none"/>
          <w:u w:val="single"/>
          <w:lang w:val="en-US" w:eastAsia="zh-CN"/>
        </w:rPr>
        <w:t xml:space="preserve">           </w:t>
      </w:r>
      <w:r>
        <w:rPr>
          <w:rFonts w:hint="eastAsia" w:ascii="Times New Roman" w:hAnsi="Times New Roman" w:eastAsia="仿宋_GB2312" w:cs="仿宋_GB2312"/>
          <w:smallCaps w:val="0"/>
          <w:sz w:val="32"/>
          <w:szCs w:val="32"/>
          <w:highlight w:val="none"/>
          <w:u w:val="none"/>
          <w:lang w:val="en-US" w:eastAsia="zh-CN"/>
        </w:rPr>
        <w:t>公司</w:t>
      </w:r>
      <w:r>
        <w:rPr>
          <w:rFonts w:hint="eastAsia" w:ascii="Times New Roman" w:hAnsi="Times New Roman" w:eastAsia="仿宋_GB2312" w:cs="仿宋_GB2312"/>
          <w:smallCaps w:val="0"/>
          <w:sz w:val="32"/>
          <w:szCs w:val="32"/>
          <w:highlight w:val="none"/>
          <w:lang w:val="en-US" w:eastAsia="zh-CN"/>
        </w:rPr>
        <w:t xml:space="preserve">  </w:t>
      </w:r>
    </w:p>
    <w:p w14:paraId="07BC442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法定代表人：</w:t>
      </w:r>
    </w:p>
    <w:p w14:paraId="69220C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地址：</w:t>
      </w:r>
    </w:p>
    <w:p w14:paraId="3BB3355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邮政编码：</w:t>
      </w:r>
    </w:p>
    <w:p w14:paraId="48DDFA9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lang w:val="en-US" w:eastAsia="zh-CN"/>
        </w:rPr>
        <w:t>乙方：</w:t>
      </w:r>
      <w:r>
        <w:rPr>
          <w:rFonts w:hint="eastAsia" w:ascii="Times New Roman" w:hAnsi="Times New Roman" w:eastAsia="仿宋_GB2312" w:cs="仿宋_GB2312"/>
          <w:smallCaps w:val="0"/>
          <w:sz w:val="32"/>
          <w:szCs w:val="32"/>
          <w:highlight w:val="none"/>
          <w:u w:val="single"/>
          <w:lang w:val="en-US" w:eastAsia="zh-CN"/>
        </w:rPr>
        <w:t xml:space="preserve">           </w:t>
      </w:r>
      <w:r>
        <w:rPr>
          <w:rFonts w:hint="eastAsia" w:ascii="Times New Roman" w:hAnsi="Times New Roman" w:eastAsia="仿宋_GB2312" w:cs="仿宋_GB2312"/>
          <w:smallCaps w:val="0"/>
          <w:sz w:val="32"/>
          <w:szCs w:val="32"/>
          <w:highlight w:val="none"/>
          <w:u w:val="none"/>
          <w:lang w:val="en-US" w:eastAsia="zh-CN"/>
        </w:rPr>
        <w:t>公司</w:t>
      </w:r>
    </w:p>
    <w:p w14:paraId="5B0E753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法定代表人：</w:t>
      </w:r>
    </w:p>
    <w:p w14:paraId="52BD7EA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地址：</w:t>
      </w:r>
    </w:p>
    <w:p w14:paraId="256628C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邮政编码：</w:t>
      </w:r>
    </w:p>
    <w:p w14:paraId="1F34DFE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本租赁服务合同（以下简称“合同”）由甲、乙双方根据《中华人民共和国合同法》及其它相关法律、法规的规定订立，就乙方承接甲方所需商品租赁相关事宜达成以下条款，由双方承诺信守执行：</w:t>
      </w:r>
    </w:p>
    <w:p w14:paraId="1ABE955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一、关于租赁服务订单（以下简称“订单”）、租赁服务费（以下简称“租金”）、租期、押金、交货单、经营性租赁、可购销、续租、约定条款、全新机、货到付款客户。</w:t>
      </w:r>
    </w:p>
    <w:p w14:paraId="57CF7AA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（一）订单：指甲方在官方平台或线下提交的租赁订单，且经乙方确认成功的租赁服务订单（订单类型含经营性租赁订单及可购销订单）。</w:t>
      </w:r>
    </w:p>
    <w:p w14:paraId="491589D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（二）租金：指最终租赁服务订单或交货单中所标明的租金合计金额。</w:t>
      </w:r>
    </w:p>
    <w:p w14:paraId="280E544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（三）租期：指订单或交货单所标明的租赁起始日期至租赁结束日期之间的周期。</w:t>
      </w:r>
    </w:p>
    <w:p w14:paraId="00BF78D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（四）押金：乙方有权在甲方所需租赁商品总额范围内收取部分或全额押金；甲方可书面申请减/免押金，乙方收到甲方书面申请后，对甲方资质进行核定，并根据核定结果给出甲方可享受的减/免押金额度。</w:t>
      </w:r>
    </w:p>
    <w:p w14:paraId="42DB3D4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（五）交货单：乙方根据甲方租赁服务订单需求派送商品时由甲方代表签字或加盖印章（公章或合同专用章）的单据。</w:t>
      </w:r>
      <w:r>
        <w:rPr>
          <w:rFonts w:hint="eastAsia" w:ascii="Times New Roman" w:hAnsi="Times New Roman" w:eastAsia="仿宋_GB2312" w:cs="仿宋_GB2312"/>
          <w:smallCaps w:val="0"/>
          <w:color w:val="121212"/>
          <w:spacing w:val="6"/>
          <w:position w:val="6"/>
          <w:sz w:val="32"/>
          <w:szCs w:val="32"/>
          <w:highlight w:val="none"/>
        </w:rPr>
        <w:br w:type="textWrapping"/>
      </w:r>
      <w:r>
        <w:rPr>
          <w:rFonts w:hint="eastAsia" w:ascii="Times New Roman" w:hAnsi="Times New Roman" w:eastAsia="仿宋_GB2312" w:cs="仿宋_GB2312"/>
          <w:smallCaps w:val="0"/>
          <w:color w:val="121212"/>
          <w:spacing w:val="6"/>
          <w:position w:val="6"/>
          <w:sz w:val="32"/>
          <w:szCs w:val="32"/>
          <w:highlight w:val="none"/>
        </w:rPr>
        <w:t>（六）经营性租赁：甲乙双方之间建立经营性租赁订单的，订单下设备租期届满后，订单下设备所有权仍归乙方所有。</w:t>
      </w:r>
    </w:p>
    <w:p w14:paraId="188A69C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（七）可购销：甲乙双方之间建立可购销订单的，甲方在依约全额支付本订单下商品租金且此订单商品租期届满后，则甲方有权通过一元购买的形式获得此订单下可购销商品的所有权。</w:t>
      </w:r>
    </w:p>
    <w:p w14:paraId="2D48AAE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（八）续租：经营性租赁订单下商品租期届满，如果商品未退回，原订单信息不变的情况下，合同按原租期、租金、未退还商品数量自动续约。</w:t>
      </w:r>
    </w:p>
    <w:p w14:paraId="2F5082B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九）约定条款：甲方向乙方租赁的商品相关信息，包括数量、类型、配置、租金、租期、商品价值、租赁类型（经营性租赁或可购销）等，参见租赁服务订单。订单与交货单内容不一致时，以租赁商品交货单为准。</w:t>
      </w:r>
    </w:p>
    <w:p w14:paraId="6AADEDF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（十）全新机：全新机是指乙方未进行开机使用的商品，以下两种情形视为商品为全新商品：</w:t>
      </w:r>
    </w:p>
    <w:p w14:paraId="69036ED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1.</w:t>
      </w:r>
      <w:r>
        <w:rPr>
          <w:rFonts w:hint="eastAsia" w:ascii="Times New Roman" w:hAnsi="Times New Roman" w:eastAsia="仿宋_GB2312" w:cs="仿宋_GB2312"/>
          <w:smallCaps w:val="0"/>
          <w:color w:val="121212"/>
          <w:spacing w:val="6"/>
          <w:position w:val="6"/>
          <w:sz w:val="32"/>
          <w:szCs w:val="32"/>
          <w:highlight w:val="none"/>
        </w:rPr>
        <w:t>因乙方需要对租赁商品进行资产统计，而对商品原包装拆封进行资产码粘贴的行为不视为对商品的使用；</w:t>
      </w:r>
    </w:p>
    <w:p w14:paraId="5605BD0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2.</w:t>
      </w:r>
      <w:r>
        <w:rPr>
          <w:rFonts w:hint="eastAsia" w:ascii="Times New Roman" w:hAnsi="Times New Roman" w:eastAsia="仿宋_GB2312" w:cs="仿宋_GB2312"/>
          <w:smallCaps w:val="0"/>
          <w:color w:val="121212"/>
          <w:spacing w:val="6"/>
          <w:position w:val="6"/>
          <w:sz w:val="32"/>
          <w:szCs w:val="32"/>
          <w:highlight w:val="none"/>
        </w:rPr>
        <w:t>若甲方需要乙方预装甲方提供的相应软件或开源软件的，乙方因此对全新商品的安装使用视为甲方操作，乙方未对全新商品进行开机使用。除全新机以外的商品为次新机。</w:t>
      </w:r>
    </w:p>
    <w:p w14:paraId="1C7A7D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（十一）货到付款客户：乙方将租赁商品送至甲方指定地点，甲方在收货后进行首付租金的支付。</w:t>
      </w:r>
    </w:p>
    <w:p w14:paraId="62F21DC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二、款项支付条款</w:t>
      </w:r>
    </w:p>
    <w:p w14:paraId="3072AA9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（一）押金收取：与订单首付租金时收取（符合免押金客户除外）。</w:t>
      </w:r>
    </w:p>
    <w:p w14:paraId="342C2C5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金收取：：根据甲方资质租金先付后用，按月支付，乙方于每月1日向甲方发送当月的对账单，甲方于2个工作日内核对完毕，账单核对完毕后乙方向甲方出具合法等额发票，甲方于当月30日前支付当月在租商品租金，若当月存在新增商品，新增商品当月及次月租金随次月在租商品租金在次月30日一并支付。(如甲方在6月18日新增订单，新增订单下商品从6月18日至7月31日的租金于7月30日支付给乙方)</w:t>
      </w:r>
    </w:p>
    <w:p w14:paraId="5E0DB0B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spacing w:val="6"/>
          <w:position w:val="6"/>
          <w:sz w:val="32"/>
          <w:szCs w:val="32"/>
          <w:highlight w:val="none"/>
        </w:rPr>
        <w:t>（三）付款方式：押金、租赁费用等款项甲方可通过在线支付、线下转账支付，款项确定以乙方收款账户到账为准。</w:t>
      </w:r>
    </w:p>
    <w:p w14:paraId="3ED659D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spacing w:val="6"/>
          <w:position w:val="6"/>
          <w:sz w:val="32"/>
          <w:szCs w:val="32"/>
          <w:highlight w:val="none"/>
        </w:rPr>
        <w:t>（四）乙方根据合同约定为甲方提供票据：</w:t>
      </w:r>
    </w:p>
    <w:p w14:paraId="11446BB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1</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乙方根据甲方要求开具： □增值税普通发票   □增值税专用发票   □其他。</w:t>
      </w:r>
    </w:p>
    <w:p w14:paraId="221373D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2</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发票开具方式：□单次开具   □月度开具   □季度开具   □其他（    ）。</w:t>
      </w:r>
    </w:p>
    <w:p w14:paraId="2942134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3</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发票</w:t>
      </w:r>
      <w:r>
        <w:rPr>
          <w:rFonts w:hint="eastAsia" w:ascii="Times New Roman" w:hAnsi="Times New Roman" w:eastAsia="仿宋_GB2312" w:cs="仿宋_GB2312"/>
          <w:smallCaps w:val="0"/>
          <w:spacing w:val="6"/>
          <w:position w:val="6"/>
          <w:sz w:val="32"/>
          <w:szCs w:val="32"/>
          <w:highlight w:val="none"/>
        </w:rPr>
        <w:t>金额说明：订单下约定的费用金额：70%为商品租赁费（税率13%）、30%为技术服务费（税率6%）。</w:t>
      </w:r>
    </w:p>
    <w:p w14:paraId="551F7F6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4</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申</w:t>
      </w:r>
      <w:r>
        <w:rPr>
          <w:rFonts w:hint="eastAsia" w:ascii="Times New Roman" w:hAnsi="Times New Roman" w:eastAsia="仿宋_GB2312" w:cs="仿宋_GB2312"/>
          <w:smallCaps w:val="0"/>
          <w:spacing w:val="6"/>
          <w:position w:val="6"/>
          <w:sz w:val="32"/>
          <w:szCs w:val="32"/>
          <w:highlight w:val="none"/>
        </w:rPr>
        <w:t>请开具发票需提供开票资料：</w:t>
      </w:r>
    </w:p>
    <w:p w14:paraId="7E6DA95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（1）增值税一般纳税人资质证明（复印件）。</w:t>
      </w:r>
    </w:p>
    <w:p w14:paraId="37FD997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（2）开票信息（开票名称、税号、地址及电话、开户行及账号）</w:t>
      </w:r>
      <w:r>
        <w:rPr>
          <w:rFonts w:hint="eastAsia" w:ascii="Times New Roman" w:hAnsi="Times New Roman" w:eastAsia="仿宋_GB2312" w:cs="仿宋_GB2312"/>
          <w:smallCaps w:val="0"/>
          <w:spacing w:val="6"/>
          <w:position w:val="6"/>
          <w:sz w:val="32"/>
          <w:szCs w:val="32"/>
          <w:highlight w:val="none"/>
        </w:rPr>
        <w:t>。</w:t>
      </w:r>
    </w:p>
    <w:p w14:paraId="4EEDF2D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黑体" w:cs="黑体"/>
          <w:b w:val="0"/>
          <w:bCs w:val="0"/>
          <w:smallCaps w:val="0"/>
          <w:color w:val="121212"/>
          <w:spacing w:val="6"/>
          <w:sz w:val="32"/>
          <w:szCs w:val="32"/>
          <w:highlight w:val="none"/>
        </w:rPr>
      </w:pPr>
      <w:r>
        <w:rPr>
          <w:rFonts w:hint="eastAsia" w:ascii="Times New Roman" w:hAnsi="Times New Roman" w:eastAsia="黑体" w:cs="黑体"/>
          <w:b w:val="0"/>
          <w:bCs w:val="0"/>
          <w:smallCaps w:val="0"/>
          <w:color w:val="121212"/>
          <w:spacing w:val="6"/>
          <w:sz w:val="32"/>
          <w:szCs w:val="32"/>
          <w:highlight w:val="none"/>
        </w:rPr>
        <w:t>三、商品交付、验收、归还条款</w:t>
      </w:r>
    </w:p>
    <w:p w14:paraId="5ED4506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（一）租赁商品交付方式：乙方送货上门、乙方邮寄、甲方自取等。</w:t>
      </w:r>
    </w:p>
    <w:p w14:paraId="4929E7C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（二）租赁商品送递时间、收货地址由甲、乙双方协商确定</w:t>
      </w:r>
      <w:r>
        <w:rPr>
          <w:rFonts w:hint="eastAsia" w:ascii="Times New Roman" w:hAnsi="Times New Roman" w:eastAsia="仿宋_GB2312" w:cs="仿宋_GB2312"/>
          <w:smallCaps w:val="0"/>
          <w:spacing w:val="6"/>
          <w:position w:val="6"/>
          <w:sz w:val="32"/>
          <w:szCs w:val="32"/>
          <w:highlight w:val="none"/>
        </w:rPr>
        <w:t>，如甲方更换，需至少提前一个工作日以书面形式通知乙方，若临时通知更换，需支付一定金额的服务费，若甲方申请新送递时间或收货地址与乙方的安排冲突，乙方有权延迟送递。乙方送货上门时，发现甲方实际经营面积、办公人数、经营内容与提供资料不符，乙方有权拒绝交付租赁商品。</w:t>
      </w:r>
    </w:p>
    <w:p w14:paraId="683B426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（三）在租赁商品及配件全部抵运现场后，甲方需立即会同乙方人员在现场共同对租赁商品型号、参数、数量和配件进行检验，验收合格后，甲方需对收到的租赁商品及配件进行签收。</w:t>
      </w:r>
    </w:p>
    <w:p w14:paraId="6142234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（四）交货单据签收：</w:t>
      </w:r>
      <w:r>
        <w:rPr>
          <w:rFonts w:hint="eastAsia" w:ascii="仿宋_GB2312" w:hAnsi="仿宋_GB2312" w:eastAsia="仿宋_GB2312" w:cs="仿宋_GB2312"/>
          <w:smallCaps w:val="0"/>
          <w:spacing w:val="6"/>
          <w:position w:val="6"/>
          <w:sz w:val="32"/>
          <w:szCs w:val="32"/>
          <w:highlight w:val="none"/>
        </w:rPr>
        <w:t>1</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交货单盖印章（公章或合同专用章）或签名；2</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若法定代表人签收，需查验身份证原件、提供身份证复印件（本人签名）交货单上本人签名；3</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若收货人为甲方员工签收，需查验身份证原件、提供身份证复印件（本人签名）、工牌或授权委托书，交货单上本人签名；4</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若收</w:t>
      </w:r>
      <w:r>
        <w:rPr>
          <w:rFonts w:hint="eastAsia" w:ascii="Times New Roman" w:hAnsi="Times New Roman" w:eastAsia="仿宋_GB2312" w:cs="仿宋_GB2312"/>
          <w:smallCaps w:val="0"/>
          <w:spacing w:val="6"/>
          <w:position w:val="6"/>
          <w:sz w:val="32"/>
          <w:szCs w:val="32"/>
          <w:highlight w:val="none"/>
        </w:rPr>
        <w:t>货地址在外地或以快递送货形式，需查验身份证原件、提供身份证复印件（本人签名），出具授权委托书，交货单上本人签名。</w:t>
      </w:r>
    </w:p>
    <w:p w14:paraId="397261E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乙方通过快递等形式予以交货的，甲方在收到乙方或第三方接收通知后，及时完成接收及验货义务，若第三方物流公司需要甲方收货人在电子设备上进行交货单签收的，则甲方收货人在电子设备上的签字对甲乙双方具有约束力。</w:t>
      </w:r>
    </w:p>
    <w:p w14:paraId="639004C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在检验中出现异议，甲方需立即向乙方提出异议并以书面形式确认异议事项。乙方接到书面异议后应在3个工作日内进行修理、更换或补齐缺货，直至验收合格；若签收后3个工作日内甲方未对签收商品提出异议，视为验收合格。</w:t>
      </w:r>
    </w:p>
    <w:p w14:paraId="24D6160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（七）乙方完成所有经营性租赁订单下租赁商品的检验及回收、且可购销订单下商品所有权依约归甲方所有或设备被乙方收回且通过检验的，甲方结清所有款项，双方确认收到款项后，本合同终止。</w:t>
      </w:r>
    </w:p>
    <w:p w14:paraId="13A7313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四、甲方的权利和义务</w:t>
      </w:r>
    </w:p>
    <w:p w14:paraId="32D99B5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（一）甲方保证提供的证明材料（营业执照、法定代表人身份证、授权委托书等）真实有效，由此产生的责任及后果全部由甲方承担。</w:t>
      </w:r>
    </w:p>
    <w:p w14:paraId="7C1CBFA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（二）租赁期限内，甲方拥有租赁商品的合法使用权，须按时支付租金；未经乙方书面同意，不得擅自变动、修理、添改租赁商品硬件任何部位或部件；不得买卖、抵押、质押、转租、转借租赁商品。</w:t>
      </w:r>
    </w:p>
    <w:p w14:paraId="700749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（三）租赁期限内，妥善保管租赁商品，配合乙方保障商品性能的各项工作。</w:t>
      </w:r>
    </w:p>
    <w:p w14:paraId="3B853BC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甲方不能变更商品使用用途，或使用租赁商品从事非法活动，若甲方隐瞒使用，乙方有权提前终止合同，收回全部租赁商品，并有权加收相当于3个月租金的违约金。由此导致的一切法律责任均有甲方予以承担，同时乙方保留追究甲方其他责任的权利。甲方依约取得可购销订单下商品所有权的，则甲方使用其拥有所有权商品所导致的一切责任均与乙方无关。乙方对本合同下商品拥有合法所有权或履行本合同必要的使用权，乙方仅负责提供本合同下商品硬件，商品使用所需软件由甲方结合自身需求进行安装使用，但应保证不侵犯第三方知识产权。</w:t>
      </w:r>
    </w:p>
    <w:p w14:paraId="30ABC08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（五）承担因使用不当造成租赁商品修理的损失及其他任何损失。</w:t>
      </w:r>
    </w:p>
    <w:p w14:paraId="11DB03D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（六）若发生以下情况，需按以下赔偿标准给予赔偿：</w:t>
      </w:r>
    </w:p>
    <w:p w14:paraId="792C29B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乙方在检验回收商品时，发现商品出现人为因素的损坏或丢失（正常损耗除外）。赔偿标准如下：</w:t>
      </w:r>
    </w:p>
    <w:p w14:paraId="760E61C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lang w:eastAsia="zh-CN"/>
        </w:rPr>
      </w:pPr>
      <w:r>
        <w:rPr>
          <w:rFonts w:hint="eastAsia" w:ascii="仿宋_GB2312" w:hAnsi="仿宋_GB2312" w:eastAsia="仿宋_GB2312" w:cs="仿宋_GB2312"/>
          <w:smallCaps w:val="0"/>
          <w:color w:val="121212"/>
          <w:spacing w:val="6"/>
          <w:position w:val="6"/>
          <w:sz w:val="32"/>
          <w:szCs w:val="32"/>
          <w:highlight w:val="none"/>
        </w:rPr>
        <w:t>（1）经营性租赁订单赔偿标准</w:t>
      </w:r>
    </w:p>
    <w:p w14:paraId="22CCD34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1）</w:t>
      </w:r>
      <w:r>
        <w:rPr>
          <w:rFonts w:hint="eastAsia" w:ascii="仿宋_GB2312" w:hAnsi="仿宋_GB2312" w:eastAsia="仿宋_GB2312" w:cs="仿宋_GB2312"/>
          <w:smallCaps w:val="0"/>
          <w:color w:val="121212"/>
          <w:spacing w:val="6"/>
          <w:position w:val="6"/>
          <w:sz w:val="32"/>
          <w:szCs w:val="32"/>
          <w:highlight w:val="none"/>
        </w:rPr>
        <w:t>配件（如：主板</w:t>
      </w:r>
      <w:r>
        <w:rPr>
          <w:rFonts w:hint="default" w:ascii="Times New Roman" w:hAnsi="Times New Roman" w:eastAsia="仿宋_GB2312" w:cs="Times New Roman"/>
          <w:smallCaps w:val="0"/>
          <w:color w:val="121212"/>
          <w:spacing w:val="6"/>
          <w:position w:val="6"/>
          <w:sz w:val="32"/>
          <w:szCs w:val="32"/>
          <w:highlight w:val="none"/>
        </w:rPr>
        <w:t>、CPU、硬盘</w:t>
      </w:r>
      <w:r>
        <w:rPr>
          <w:rFonts w:hint="eastAsia" w:ascii="仿宋_GB2312" w:hAnsi="仿宋_GB2312" w:eastAsia="仿宋_GB2312" w:cs="仿宋_GB2312"/>
          <w:smallCaps w:val="0"/>
          <w:color w:val="121212"/>
          <w:spacing w:val="6"/>
          <w:position w:val="6"/>
          <w:sz w:val="32"/>
          <w:szCs w:val="32"/>
          <w:highlight w:val="none"/>
        </w:rPr>
        <w:t>、内存、键盘、鼠标等）损坏或丢失：参照损失当时市场价值予以赔偿；</w:t>
      </w:r>
    </w:p>
    <w:p w14:paraId="4B14EC8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2）</w:t>
      </w:r>
      <w:r>
        <w:rPr>
          <w:rFonts w:hint="eastAsia" w:ascii="仿宋_GB2312" w:hAnsi="仿宋_GB2312" w:eastAsia="仿宋_GB2312" w:cs="仿宋_GB2312"/>
          <w:smallCaps w:val="0"/>
          <w:color w:val="121212"/>
          <w:spacing w:val="6"/>
          <w:position w:val="6"/>
          <w:sz w:val="32"/>
          <w:szCs w:val="32"/>
          <w:highlight w:val="none"/>
        </w:rPr>
        <w:t>整</w:t>
      </w:r>
      <w:r>
        <w:rPr>
          <w:rFonts w:hint="eastAsia" w:ascii="Times New Roman" w:hAnsi="Times New Roman" w:eastAsia="仿宋_GB2312" w:cs="仿宋_GB2312"/>
          <w:smallCaps w:val="0"/>
          <w:color w:val="121212"/>
          <w:spacing w:val="6"/>
          <w:position w:val="6"/>
          <w:sz w:val="32"/>
          <w:szCs w:val="32"/>
          <w:highlight w:val="none"/>
        </w:rPr>
        <w:t>机损坏或丢失：租赁时长≤3个月，按商品保值价予以赔偿；租赁时长＞3个月，按商品保值价的1.5%/月/台递减予以赔偿。</w:t>
      </w:r>
    </w:p>
    <w:p w14:paraId="14527A7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（2）可购销订单赔偿标准</w:t>
      </w:r>
    </w:p>
    <w:p w14:paraId="5F0F8AF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1）</w:t>
      </w:r>
      <w:r>
        <w:rPr>
          <w:rFonts w:hint="eastAsia" w:ascii="仿宋_GB2312" w:hAnsi="仿宋_GB2312" w:eastAsia="仿宋_GB2312" w:cs="仿宋_GB2312"/>
          <w:smallCaps w:val="0"/>
          <w:color w:val="121212"/>
          <w:spacing w:val="6"/>
          <w:position w:val="6"/>
          <w:sz w:val="32"/>
          <w:szCs w:val="32"/>
          <w:highlight w:val="none"/>
        </w:rPr>
        <w:t>配件</w:t>
      </w:r>
      <w:r>
        <w:rPr>
          <w:rFonts w:hint="eastAsia" w:ascii="Times New Roman" w:hAnsi="Times New Roman" w:eastAsia="仿宋_GB2312" w:cs="仿宋_GB2312"/>
          <w:smallCaps w:val="0"/>
          <w:color w:val="121212"/>
          <w:spacing w:val="6"/>
          <w:position w:val="6"/>
          <w:sz w:val="32"/>
          <w:szCs w:val="32"/>
          <w:highlight w:val="none"/>
        </w:rPr>
        <w:t>（如：主板、CPU、硬盘、内存、键盘、鼠标等）损坏或丢失：参照损失当时市场价值予以赔偿；</w:t>
      </w:r>
    </w:p>
    <w:p w14:paraId="02A1BB7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2）</w:t>
      </w:r>
      <w:r>
        <w:rPr>
          <w:rFonts w:hint="eastAsia" w:ascii="仿宋_GB2312" w:hAnsi="仿宋_GB2312" w:eastAsia="仿宋_GB2312" w:cs="仿宋_GB2312"/>
          <w:smallCaps w:val="0"/>
          <w:color w:val="121212"/>
          <w:spacing w:val="6"/>
          <w:position w:val="6"/>
          <w:sz w:val="32"/>
          <w:szCs w:val="32"/>
          <w:highlight w:val="none"/>
        </w:rPr>
        <w:t>整机</w:t>
      </w:r>
      <w:r>
        <w:rPr>
          <w:rFonts w:hint="eastAsia" w:ascii="Times New Roman" w:hAnsi="Times New Roman" w:eastAsia="仿宋_GB2312" w:cs="仿宋_GB2312"/>
          <w:smallCaps w:val="0"/>
          <w:color w:val="121212"/>
          <w:spacing w:val="6"/>
          <w:position w:val="6"/>
          <w:sz w:val="32"/>
          <w:szCs w:val="32"/>
          <w:highlight w:val="none"/>
        </w:rPr>
        <w:t xml:space="preserve">损坏或丢失的：甲方应在乙方依约收回商品前，一次性支付整机损毁或丢失商品剩余的全部租赁服务费，乙方依约取得上述费用后则上述商品所有权归甲方所有。 </w:t>
      </w:r>
    </w:p>
    <w:p w14:paraId="74175EF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kern w:val="0"/>
          <w:sz w:val="32"/>
          <w:szCs w:val="32"/>
          <w:highlight w:val="none"/>
        </w:rPr>
      </w:pPr>
      <w:r>
        <w:rPr>
          <w:rFonts w:hint="eastAsia" w:ascii="Times New Roman" w:hAnsi="Times New Roman" w:eastAsia="仿宋_GB2312" w:cs="仿宋_GB2312"/>
          <w:smallCaps w:val="0"/>
          <w:color w:val="121212"/>
          <w:kern w:val="0"/>
          <w:sz w:val="32"/>
          <w:szCs w:val="32"/>
          <w:highlight w:val="none"/>
        </w:rPr>
        <w:t>（七）经营性租赁订单租期届满前30日，甲方需通知乙方是否续租，续租订单支持即租即还且无需支付因提前退还产生的服务费；若不续租，甲方应登录平台网站账户进行操作或以书面形式告知乙方，办理退货手续，甲方应主动归还租赁商品，有义务配合乙方顺利和完整回收商品。在乙方没有回收商品前，甲方对商品仍负有保全责任。</w:t>
      </w:r>
    </w:p>
    <w:p w14:paraId="2DF27CB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kern w:val="0"/>
          <w:sz w:val="32"/>
          <w:szCs w:val="32"/>
          <w:highlight w:val="none"/>
        </w:rPr>
      </w:pPr>
      <w:r>
        <w:rPr>
          <w:rFonts w:hint="eastAsia" w:ascii="Times New Roman" w:hAnsi="Times New Roman" w:eastAsia="仿宋_GB2312" w:cs="仿宋_GB2312"/>
          <w:smallCaps w:val="0"/>
          <w:color w:val="121212"/>
          <w:kern w:val="0"/>
          <w:sz w:val="32"/>
          <w:szCs w:val="32"/>
          <w:highlight w:val="none"/>
        </w:rPr>
        <w:t>（</w:t>
      </w:r>
      <w:r>
        <w:rPr>
          <w:rFonts w:hint="eastAsia" w:ascii="Times New Roman" w:hAnsi="Times New Roman" w:eastAsia="仿宋_GB2312" w:cs="仿宋_GB2312"/>
          <w:smallCaps w:val="0"/>
          <w:color w:val="121212"/>
          <w:kern w:val="0"/>
          <w:sz w:val="32"/>
          <w:szCs w:val="32"/>
          <w:highlight w:val="none"/>
          <w:lang w:val="en-US" w:eastAsia="zh-CN"/>
        </w:rPr>
        <w:t>八</w:t>
      </w:r>
      <w:r>
        <w:rPr>
          <w:rFonts w:hint="eastAsia" w:ascii="Times New Roman" w:hAnsi="Times New Roman" w:eastAsia="仿宋_GB2312" w:cs="仿宋_GB2312"/>
          <w:smallCaps w:val="0"/>
          <w:color w:val="121212"/>
          <w:kern w:val="0"/>
          <w:sz w:val="32"/>
          <w:szCs w:val="32"/>
          <w:highlight w:val="none"/>
        </w:rPr>
        <w:t>）除非双方另有约定，商品回收手续需在订单租期届满或合同解除后3个工作日内完成。</w:t>
      </w:r>
    </w:p>
    <w:p w14:paraId="06C97D2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sz w:val="32"/>
          <w:szCs w:val="32"/>
          <w:highlight w:val="none"/>
        </w:rPr>
      </w:pPr>
      <w:r>
        <w:rPr>
          <w:rFonts w:hint="eastAsia" w:ascii="Times New Roman" w:hAnsi="Times New Roman" w:eastAsia="仿宋_GB2312" w:cs="仿宋_GB2312"/>
          <w:smallCaps w:val="0"/>
          <w:color w:val="121212"/>
          <w:kern w:val="0"/>
          <w:sz w:val="32"/>
          <w:szCs w:val="32"/>
          <w:highlight w:val="none"/>
        </w:rPr>
        <w:t>（九）</w:t>
      </w:r>
      <w:r>
        <w:rPr>
          <w:rFonts w:hint="eastAsia" w:ascii="Times New Roman" w:hAnsi="Times New Roman" w:eastAsia="仿宋_GB2312" w:cs="仿宋_GB2312"/>
          <w:smallCaps w:val="0"/>
          <w:color w:val="121212"/>
          <w:sz w:val="32"/>
          <w:szCs w:val="32"/>
          <w:highlight w:val="none"/>
        </w:rPr>
        <w:t>租赁服务期间内，甲方存在以下情形之一的，乙方可认为甲方履约能力降低或丧失。为保证合同的顺利履行，乙方有权要求甲方在收到增收押金通知后三日内支付不低于三个月在租设备租金金额的押金或变更租金收取条款等（变更通知到达甲方后，租金收取条款变更）。甲方未及时足额支付押金等费用的，乙方有权解除合同收回设备，甲方参照提前退租承担违约责任。</w:t>
      </w:r>
    </w:p>
    <w:p w14:paraId="2D67DE7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1</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甲方拖欠乙方本合同下约定费用的（包括但不仅限于租金、服务费、维修成本费等）；</w:t>
      </w:r>
    </w:p>
    <w:p w14:paraId="2B39291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2</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甲方因拖欠员工薪资而引发群体性事件;</w:t>
      </w:r>
    </w:p>
    <w:p w14:paraId="25BDBDD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3</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w:t>
      </w:r>
      <w:r>
        <w:rPr>
          <w:rFonts w:hint="eastAsia" w:ascii="Times New Roman" w:hAnsi="Times New Roman" w:eastAsia="仿宋_GB2312" w:cs="仿宋_GB2312"/>
          <w:smallCaps w:val="0"/>
          <w:color w:val="121212"/>
          <w:sz w:val="32"/>
          <w:szCs w:val="32"/>
          <w:highlight w:val="none"/>
        </w:rPr>
        <w:t>因拖欠设备使用地业主或物业管理公司租金、物业管理费等情况，导致经营场所存在查封可能的。</w:t>
      </w:r>
    </w:p>
    <w:p w14:paraId="6B40E4B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五、乙方的权利和义务</w:t>
      </w:r>
    </w:p>
    <w:p w14:paraId="4DAD3DE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（一）乙方拥有租赁商品的所有权。</w:t>
      </w:r>
    </w:p>
    <w:p w14:paraId="4F8889E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（二）乙方承诺，合作项目一经展开，在技术和人力物力上，全力配合甲方的业务发展，并按照甲方的技术和服务规范要求，快速开展服务，服务内容有：租赁商品的安装调试、维修保养及</w:t>
      </w:r>
      <w:r>
        <w:rPr>
          <w:rFonts w:hint="eastAsia" w:ascii="Times New Roman" w:hAnsi="Times New Roman" w:eastAsia="仿宋_GB2312" w:cs="仿宋_GB2312"/>
          <w:smallCaps w:val="0"/>
          <w:color w:val="121212"/>
          <w:spacing w:val="6"/>
          <w:position w:val="6"/>
          <w:sz w:val="32"/>
          <w:szCs w:val="32"/>
          <w:highlight w:val="none"/>
          <w:u w:val="single"/>
        </w:rPr>
        <w:t>指导</w:t>
      </w:r>
      <w:r>
        <w:rPr>
          <w:rFonts w:hint="eastAsia" w:ascii="Times New Roman" w:hAnsi="Times New Roman" w:eastAsia="仿宋_GB2312" w:cs="仿宋_GB2312"/>
          <w:smallCaps w:val="0"/>
          <w:color w:val="121212"/>
          <w:spacing w:val="6"/>
          <w:position w:val="6"/>
          <w:sz w:val="32"/>
          <w:szCs w:val="32"/>
          <w:highlight w:val="none"/>
        </w:rPr>
        <w:t>操作人员等。</w:t>
      </w:r>
    </w:p>
    <w:p w14:paraId="003E8AE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（三）乙方承诺对网点内经营性订单下商品正常使用出现的硬件故障提供7×24小时报障服务，7×12小时（8：00—20：00）技术支持服务，确保商品硬件的可用性。各类故障修复时限如下：</w:t>
      </w:r>
    </w:p>
    <w:p w14:paraId="40490BE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接到报障派单后首先进行电话、网络排障，不能进行电话、网络排障的提供市内第二个工作日内上门服务，省市外由甲乙双方商议决定。</w:t>
      </w:r>
    </w:p>
    <w:p w14:paraId="742FD5A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如乙方不</w:t>
      </w:r>
      <w:r>
        <w:rPr>
          <w:rFonts w:hint="eastAsia" w:ascii="Times New Roman" w:hAnsi="Times New Roman" w:eastAsia="仿宋_GB2312" w:cs="仿宋_GB2312"/>
          <w:smallCaps w:val="0"/>
          <w:color w:val="121212"/>
          <w:spacing w:val="6"/>
          <w:position w:val="6"/>
          <w:sz w:val="32"/>
          <w:szCs w:val="32"/>
          <w:highlight w:val="none"/>
        </w:rPr>
        <w:t xml:space="preserve">能在承诺工作日内修复故障，需在48小时内提供备用商品，终端故障排除后，乙方有权随时回收备用商品。           </w:t>
      </w:r>
    </w:p>
    <w:p w14:paraId="5C644BA8">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3</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特</w:t>
      </w:r>
      <w:r>
        <w:rPr>
          <w:rFonts w:hint="eastAsia" w:ascii="Times New Roman" w:hAnsi="Times New Roman" w:eastAsia="仿宋_GB2312" w:cs="仿宋_GB2312"/>
          <w:smallCaps w:val="0"/>
          <w:color w:val="121212"/>
          <w:spacing w:val="6"/>
          <w:position w:val="6"/>
          <w:sz w:val="32"/>
          <w:szCs w:val="32"/>
          <w:highlight w:val="none"/>
        </w:rPr>
        <w:t>殊情况，若甲方需要额外提供加时上门服务的（8:00前和20：00后），由甲乙双方根据实际情况商议决定，支付部分人工费、交通费即可。</w:t>
      </w:r>
    </w:p>
    <w:p w14:paraId="78E2FF4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4</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租赁期间，租赁商品严重损坏、且不在订单中约定的保修范围内，乙方有权向甲方收取维修成本费用。</w:t>
      </w:r>
    </w:p>
    <w:p w14:paraId="2B0CDF8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5</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 xml:space="preserve">保修范围：商品在正常使用情况下出现的故障（不包含进液、摔碎、磕碰、雷击等人为或外力因素造成的外壳、屏幕及电子部件损坏等故障）。 </w:t>
      </w:r>
    </w:p>
    <w:p w14:paraId="384BFC5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6</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人为损坏范围：甲方使用不当（如液体注入、外力挤压、坠落等</w:t>
      </w:r>
      <w:r>
        <w:rPr>
          <w:rFonts w:hint="eastAsia" w:ascii="Times New Roman" w:hAnsi="Times New Roman" w:eastAsia="仿宋_GB2312" w:cs="仿宋_GB2312"/>
          <w:smallCaps w:val="0"/>
          <w:color w:val="121212"/>
          <w:spacing w:val="6"/>
          <w:position w:val="6"/>
          <w:sz w:val="32"/>
          <w:szCs w:val="32"/>
          <w:highlight w:val="none"/>
        </w:rPr>
        <w:t>）造成的商品损坏由乙方负责维修，甲方承担配件材料费，乙方不收取检测费，维修费等人工费用。</w:t>
      </w:r>
    </w:p>
    <w:p w14:paraId="61E5DB8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（四）可购销订单下商品出现故障，若甲方需要乙方向此订单下商品提供本条下技术服务的，则乙方有权向甲方收取相应费用，否则乙方有权拒绝予以提供。</w:t>
      </w:r>
    </w:p>
    <w:p w14:paraId="0B06201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（五）租赁期间，因甲方发生下列行为之一，乙方有权单方解除合同，收回经营性订单下商品且要求甲方在合同解除三日内支付所有未到期订单的剩余全部租金：</w:t>
      </w:r>
    </w:p>
    <w:p w14:paraId="4BB112A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经营状况严重恶化。</w:t>
      </w:r>
    </w:p>
    <w:p w14:paraId="0FB2121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转移财产、抽逃资金，以逃避债务。</w:t>
      </w:r>
    </w:p>
    <w:p w14:paraId="52EDA02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3</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丧失商业信誉。</w:t>
      </w:r>
    </w:p>
    <w:p w14:paraId="09CB335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4</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Times New Roman" w:hAnsi="Times New Roman" w:eastAsia="仿宋_GB2312" w:cs="仿宋_GB2312"/>
          <w:smallCaps w:val="0"/>
          <w:color w:val="121212"/>
          <w:spacing w:val="6"/>
          <w:position w:val="6"/>
          <w:sz w:val="32"/>
          <w:szCs w:val="32"/>
          <w:highlight w:val="none"/>
        </w:rPr>
        <w:t>有丧失或者可能丧失履行债务能力的其他情形。</w:t>
      </w:r>
    </w:p>
    <w:p w14:paraId="7AA93C6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协议双方对本协议履行过程中所接触或获知的对方的任何商业信息均有保密义务，除非有明显的证据证明该等信息属于公知信息或者事先得到对方的书面授权。一方因违反该等义务而给对方造成损失的，均应赔偿对方的相应直接经济损失。</w:t>
      </w:r>
    </w:p>
    <w:p w14:paraId="48755F4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pacing w:val="6"/>
          <w:position w:val="6"/>
          <w:sz w:val="32"/>
          <w:szCs w:val="32"/>
          <w:highlight w:val="none"/>
        </w:rPr>
      </w:pPr>
      <w:r>
        <w:rPr>
          <w:rFonts w:hint="eastAsia" w:ascii="Times New Roman" w:hAnsi="Times New Roman" w:eastAsia="黑体" w:cs="黑体"/>
          <w:b w:val="0"/>
          <w:bCs w:val="0"/>
          <w:smallCaps w:val="0"/>
          <w:color w:val="121212"/>
          <w:sz w:val="32"/>
          <w:szCs w:val="32"/>
          <w:highlight w:val="none"/>
        </w:rPr>
        <w:t>六、违约责任条款</w:t>
      </w:r>
    </w:p>
    <w:p w14:paraId="24E5089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乙方未能在规定时间交货或提供的商品与订单不相符，甲方有权要求退还商品和退回预付款，在乙方退回甲方所缴纳的所有预付款后，合同终止，互不追究违约责任。如甲方仍需租赁商品，则甲方有权要求乙方在重新协定时间内送抵到指定地点（原则上甲方规定时间需&gt;24小时），原合同继续履行。</w:t>
      </w:r>
    </w:p>
    <w:p w14:paraId="600790F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乙方须在付款日前十个工作日向甲方提交账单和发票。若甲方未在租金付款日(1日)交纳租金或未及时依约支付其他费用的，乙方有权要求甲方支付逾期款违约金，标准为逾期总金额的3‰/天。期间乙方有权冻结甲方的平台账户，不退还任何押金、租金或充值金额。</w:t>
      </w:r>
    </w:p>
    <w:p w14:paraId="5552CA1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甲方同意，当出现逾期支付租金等费用超过15天，乙方有权提前终止合同并停止向甲方租赁商品提供技术服务支持，同时乙方保留无条件收回租赁商品（甲方依约已取得所有权的商品除外）的权利，由此造成的任何责任或损失由甲方自行承担且乙方有权要求甲方参照提前退租承担违约责任。如甲方不退还租赁商品，经营性租赁订单下商品，则乙方有权要求甲方按照交货单中该商品总价值予以赔偿（按赔偿标准执行）；可购销订单下商品，则乙方有权要求甲方在合同终止后三天内一次性支付此订单下商品剩余全部租赁服务费。</w:t>
      </w:r>
    </w:p>
    <w:p w14:paraId="3DA8F46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若甲方为货到付款客户，甲方须在收货后三个工作日内完成首付租金的支付，若甲方逾期支付的，乙方有权暂停交付本合同下其他订单下商品且暂停提供本合同下约定的技术服务支持而无须承担违约责任，同时乙方有权立即解除此货到付款订单并收回商品，甲方须支付被解除订单下商品2个月的租金作为违约金。</w:t>
      </w:r>
    </w:p>
    <w:p w14:paraId="64CE49F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在经营性租赁订单租赁期间，针对非即租即还商品，甲方提前退还租赁商品，乙方将收取合同期内未到期的剩余租金的50%作为违约金，且乙方无须退还其他押金或预付款；针对即租即还商品，超过6个月但不满约定租期提前退还的，不收取额外违约金，只需由甲方承担退货运费；若6个月内退还且租期≤3个月，将收取3个月租金作为违约金，并由甲方承担退货运费；租期＞3个月，需补齐6个月租金作为违约金，并由甲方承担退货运费。可购销订单租赁期限内，甲方提前退还租赁商品，乙方有权收取合同期内未到期的剩余租金的30%作为违约金。</w:t>
      </w:r>
      <w:r>
        <w:rPr>
          <w:rFonts w:hint="eastAsia" w:ascii="Times New Roman" w:hAnsi="Times New Roman" w:eastAsia="仿宋_GB2312" w:cs="仿宋_GB2312"/>
          <w:smallCaps w:val="0"/>
          <w:sz w:val="32"/>
          <w:szCs w:val="32"/>
          <w:highlight w:val="none"/>
        </w:rPr>
        <w:t>租赁期限内（续租除外），甲方提前退还租赁商品的，则被退还商品的租金计算至退租当月月末最后一天。</w:t>
      </w:r>
    </w:p>
    <w:p w14:paraId="5EBFF1E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经营性租赁订单租赁期满后，甲方未向乙方退还租赁商品，或甲方办理续租手续后超过3个工作日未向乙方支付租金的（经乙方同意延长支付期限的除外）也未向乙方退还租赁商品的，乙方有权立即终止合同、并要求甲方退还所租赁的商品。如甲方不退还租赁商品，则乙方有权要求甲方按照交货单中该商品总价值予以赔偿。（按赔偿标准执行）。</w:t>
      </w:r>
    </w:p>
    <w:p w14:paraId="707793C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未经乙方书面同意，甲方将乙方拥有所有权的商品转移到非收货地址（员工出差移动办公除外），可视为租赁商品遗失。乙方有权终止合同并要求甲方按照交货单中该商品总价值予以赔偿。（按赔偿标准执行）。</w:t>
      </w:r>
    </w:p>
    <w:p w14:paraId="1B4DC4D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八）甲方拒不按约定支付租金、维修费用等其他费用，乙方有权将甲方认定为失信客户，保留将其按失信客户处理的权利（失信客户将在乙方官网平台、互联网其他网站公示或报公安机关或向法院起诉或者向仲裁机构提起仲裁申请），并有权继续追偿。</w:t>
      </w:r>
    </w:p>
    <w:p w14:paraId="7CC566D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九）甲方悉知，甲方向乙方租赁的全新设备或定制机，需要乙方在订单确定后进行采购，若甲方在订单确定后单方解除定制机或全新机订单的，则乙方有权要求甲方支付被解除订单下全新机或定制机保值价的30%做为违约金，违约金不足以赔偿乙方损失（包括但不限于乙方因解除此订单向其供应商支付的违约金、未被退还的采购款等），甲方应继续补足。</w:t>
      </w:r>
    </w:p>
    <w:p w14:paraId="44A382D5">
      <w:pPr>
        <w:keepNext w:val="0"/>
        <w:keepLines w:val="0"/>
        <w:pageBreakBefore w:val="0"/>
        <w:widowControl w:val="0"/>
        <w:tabs>
          <w:tab w:val="left" w:pos="4666"/>
        </w:tabs>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仿宋"/>
          <w:smallCaps w:val="0"/>
          <w:color w:val="FF0000"/>
          <w:spacing w:val="6"/>
          <w:position w:val="6"/>
          <w:sz w:val="32"/>
          <w:szCs w:val="32"/>
          <w:highlight w:val="none"/>
        </w:rPr>
      </w:pPr>
      <w:r>
        <w:rPr>
          <w:rFonts w:hint="eastAsia" w:ascii="Times New Roman" w:hAnsi="Times New Roman" w:eastAsia="黑体" w:cs="黑体"/>
          <w:b w:val="0"/>
          <w:bCs w:val="0"/>
          <w:smallCaps w:val="0"/>
          <w:color w:val="121212"/>
          <w:sz w:val="32"/>
          <w:szCs w:val="32"/>
          <w:highlight w:val="none"/>
        </w:rPr>
        <w:t>七、通知</w:t>
      </w:r>
      <w:r>
        <w:rPr>
          <w:rFonts w:hint="eastAsia" w:ascii="Times New Roman" w:hAnsi="Times New Roman" w:eastAsia="仿宋" w:cs="仿宋"/>
          <w:b/>
          <w:bCs/>
          <w:smallCaps w:val="0"/>
          <w:color w:val="121212"/>
          <w:sz w:val="32"/>
          <w:szCs w:val="32"/>
          <w:highlight w:val="none"/>
        </w:rPr>
        <w:tab/>
      </w:r>
    </w:p>
    <w:p w14:paraId="28B2F7C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本合同下的通知均采用书面形式（包含电子邮件）予以发送，甲乙双方指定以下地址为本合同下的收发件地址。法院或仲裁委因处理本合同下纠纷而向甲乙双方发送司法文书的，双方同意用以下地址进行收件。</w:t>
      </w:r>
    </w:p>
    <w:p w14:paraId="0984079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甲方：     </w:t>
      </w:r>
    </w:p>
    <w:p w14:paraId="2565401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联系地址：                       </w:t>
      </w:r>
    </w:p>
    <w:p w14:paraId="2F5CE0A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电子邮箱：  </w:t>
      </w:r>
    </w:p>
    <w:p w14:paraId="2756B78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乙方：</w:t>
      </w:r>
    </w:p>
    <w:p w14:paraId="0E47EAE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联系地址：</w:t>
      </w:r>
    </w:p>
    <w:p w14:paraId="0F292A0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电子邮箱：              </w:t>
      </w:r>
    </w:p>
    <w:p w14:paraId="1D1DAA3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eastAsia="zh-CN"/>
        </w:rPr>
        <w:t>（</w:t>
      </w:r>
      <w:r>
        <w:rPr>
          <w:rFonts w:hint="eastAsia" w:ascii="Times New Roman" w:hAnsi="Times New Roman" w:eastAsia="仿宋_GB2312" w:cs="仿宋_GB2312"/>
          <w:smallCaps w:val="0"/>
          <w:color w:val="121212"/>
          <w:spacing w:val="6"/>
          <w:position w:val="6"/>
          <w:sz w:val="32"/>
          <w:szCs w:val="32"/>
          <w:highlight w:val="none"/>
          <w:lang w:val="en-US" w:eastAsia="zh-CN"/>
        </w:rPr>
        <w:t>二）</w:t>
      </w:r>
      <w:r>
        <w:rPr>
          <w:rFonts w:hint="eastAsia" w:ascii="Times New Roman" w:hAnsi="Times New Roman" w:eastAsia="仿宋_GB2312" w:cs="仿宋_GB2312"/>
          <w:smallCaps w:val="0"/>
          <w:color w:val="121212"/>
          <w:spacing w:val="6"/>
          <w:position w:val="6"/>
          <w:sz w:val="32"/>
          <w:szCs w:val="32"/>
          <w:highlight w:val="none"/>
        </w:rPr>
        <w:t>双方以特快专递发送的通知，若接收方无正当理由予以拒收的，发出后的2个工作日内视为送达；以电子邮件发送的通知，到达对方指定邮箱视为送达；</w:t>
      </w:r>
    </w:p>
    <w:p w14:paraId="6FD305F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（三）甲乙双方通信地址发生变更的，应当在变更变更前2个工作日内通知对方，否则按约定地址发送的通知视为有效送达，造成的损失由未履行通知义务的一方承担；</w:t>
      </w:r>
    </w:p>
    <w:p w14:paraId="73ABC0E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（四）本条和合同首页下的联系地址冲突的，以本条填写的地址为准；本条未填写的，以合同首页下的联系地址为准。</w:t>
      </w:r>
    </w:p>
    <w:p w14:paraId="4105BB1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（五）甲方同意乙方可以通过</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官方平台向甲方注册账号发送每月/季度/年的对账单，甲方在收到乙方发送的对账单后两个工作日内予以核对完成，若甲方通过注册账号确认账单无误或未在约定期限内提出书面异议的，视为甲方同意乙方账单。</w:t>
      </w:r>
    </w:p>
    <w:p w14:paraId="4B49A1F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b/>
          <w:bCs/>
          <w:smallCaps w:val="0"/>
          <w:color w:val="121212"/>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（六）甲方在</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官网平台注册账号及密码由甲方委托专人予以保管，甲方对</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平台注册账号所实施的相关操作予以认可，由此产生的权利及义务由甲方享有及承担。若甲方账号及密码泄露的，甲方应及时通知乙方，乙方在收到甲方书面通知后及时暂停向此注册账号提供服务。</w:t>
      </w:r>
    </w:p>
    <w:p w14:paraId="2FF4B40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八、其它条款</w:t>
      </w:r>
    </w:p>
    <w:p w14:paraId="2CBC5F4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经营性租赁订单下商品，甲方正常使用出现磨损，质量问题，甲方不承担任何责任。经营性订单和可购销订单下商品中资料安全性，甲方做好备份和清除，如出现系统损坏资料丢失，重要资料泄密，乙方不承担任何责任。</w:t>
      </w:r>
    </w:p>
    <w:p w14:paraId="48D568D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在合同履行期间如果发生争议，应友好协商解决。如果协商不成，双方同意由乙方所在地人民法院提起诉讼，诉讼产生的相关费用及开支（包括但不限于诉讼费、鉴定费、律师费、交通费用）均由败诉方承担。</w:t>
      </w:r>
    </w:p>
    <w:p w14:paraId="0C9E50B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（三）如有未尽事宜，请双方共同</w:t>
      </w:r>
      <w:r>
        <w:rPr>
          <w:rFonts w:hint="eastAsia" w:ascii="Times New Roman" w:hAnsi="Times New Roman" w:eastAsia="仿宋_GB2312" w:cs="仿宋_GB2312"/>
          <w:smallCaps w:val="0"/>
          <w:color w:val="121212"/>
          <w:spacing w:val="6"/>
          <w:position w:val="6"/>
          <w:sz w:val="32"/>
          <w:szCs w:val="32"/>
          <w:highlight w:val="none"/>
          <w:lang w:val="en-US" w:eastAsia="zh-CN"/>
        </w:rPr>
        <w:t>友好</w:t>
      </w:r>
      <w:r>
        <w:rPr>
          <w:rFonts w:hint="eastAsia" w:ascii="Times New Roman" w:hAnsi="Times New Roman" w:eastAsia="仿宋_GB2312" w:cs="仿宋_GB2312"/>
          <w:smallCaps w:val="0"/>
          <w:color w:val="121212"/>
          <w:spacing w:val="6"/>
          <w:position w:val="6"/>
          <w:sz w:val="32"/>
          <w:szCs w:val="32"/>
          <w:highlight w:val="none"/>
        </w:rPr>
        <w:t>协商解决，或参照</w:t>
      </w:r>
      <w:r>
        <w:rPr>
          <w:rFonts w:hint="eastAsia" w:ascii="Times New Roman" w:hAnsi="Times New Roman" w:eastAsia="仿宋_GB2312" w:cs="仿宋_GB2312"/>
          <w:smallCaps w:val="0"/>
          <w:sz w:val="32"/>
          <w:szCs w:val="32"/>
          <w:highlight w:val="none"/>
          <w:lang w:val="en-US" w:eastAsia="zh-CN"/>
        </w:rPr>
        <w:t>中华人民共和国《民法典》《律师法》《民事诉讼法》《仲裁法》等法律</w:t>
      </w:r>
      <w:r>
        <w:rPr>
          <w:rFonts w:hint="eastAsia" w:ascii="Times New Roman" w:hAnsi="Times New Roman" w:eastAsia="仿宋_GB2312" w:cs="仿宋_GB2312"/>
          <w:smallCaps w:val="0"/>
          <w:color w:val="121212"/>
          <w:spacing w:val="6"/>
          <w:position w:val="6"/>
          <w:sz w:val="32"/>
          <w:szCs w:val="32"/>
          <w:highlight w:val="none"/>
        </w:rPr>
        <w:t>执行，如有与国家有关法律抵触的，以国家相关法律为准；本合同涉及到的金额都以人民币计算。</w:t>
      </w:r>
    </w:p>
    <w:p w14:paraId="7C8E23F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（四）甲乙双方同意且认可本项目招标文件、投标文件、合同谈判记录、合同文本之间存在冲突的，以最有利于甲方的内容为准。</w:t>
      </w:r>
    </w:p>
    <w:p w14:paraId="213A9CC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lang w:val="en-US" w:eastAsia="zh-CN"/>
        </w:rPr>
      </w:pPr>
      <w:r>
        <w:rPr>
          <w:rFonts w:hint="eastAsia" w:ascii="Times New Roman" w:hAnsi="Times New Roman" w:eastAsia="仿宋_GB2312" w:cs="仿宋_GB2312"/>
          <w:smallCaps w:val="0"/>
          <w:color w:val="121212"/>
          <w:spacing w:val="6"/>
          <w:position w:val="6"/>
          <w:sz w:val="32"/>
          <w:szCs w:val="32"/>
          <w:highlight w:val="none"/>
        </w:rPr>
        <w:t>（</w:t>
      </w:r>
      <w:r>
        <w:rPr>
          <w:rFonts w:hint="eastAsia" w:ascii="Times New Roman" w:hAnsi="Times New Roman" w:eastAsia="仿宋_GB2312" w:cs="仿宋_GB2312"/>
          <w:smallCaps w:val="0"/>
          <w:color w:val="121212"/>
          <w:spacing w:val="6"/>
          <w:position w:val="6"/>
          <w:sz w:val="32"/>
          <w:szCs w:val="32"/>
          <w:highlight w:val="none"/>
          <w:lang w:val="en-US" w:eastAsia="zh-CN"/>
        </w:rPr>
        <w:t>五</w:t>
      </w:r>
      <w:r>
        <w:rPr>
          <w:rFonts w:hint="eastAsia" w:ascii="Times New Roman" w:hAnsi="Times New Roman" w:eastAsia="仿宋_GB2312" w:cs="仿宋_GB2312"/>
          <w:smallCaps w:val="0"/>
          <w:color w:val="121212"/>
          <w:spacing w:val="6"/>
          <w:position w:val="6"/>
          <w:sz w:val="32"/>
          <w:szCs w:val="32"/>
          <w:highlight w:val="none"/>
        </w:rPr>
        <w:t>）</w:t>
      </w:r>
      <w:r>
        <w:rPr>
          <w:rFonts w:hint="eastAsia" w:ascii="Times New Roman" w:hAnsi="Times New Roman" w:eastAsia="仿宋_GB2312" w:cs="仿宋_GB2312"/>
          <w:smallCaps w:val="0"/>
          <w:color w:val="121212"/>
          <w:spacing w:val="6"/>
          <w:position w:val="6"/>
          <w:sz w:val="32"/>
          <w:szCs w:val="32"/>
          <w:highlight w:val="none"/>
          <w:lang w:val="en-US" w:eastAsia="zh-CN"/>
        </w:rPr>
        <w:t>本合同附件是本合同不可分割的组成部分，与本合同具有同等法律效力，本合同正文不明确的或合同未尽事宜，双方可另行协商，可通过补充协议予以规定，补充协议与本合同具有同等效力。补充协议与本合同约定不一致的，以补充协议为准。</w:t>
      </w:r>
    </w:p>
    <w:p w14:paraId="03E7ADC8">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smallCaps w:val="0"/>
          <w:highlight w:val="none"/>
        </w:rPr>
      </w:pPr>
      <w:r>
        <w:rPr>
          <w:rFonts w:hint="eastAsia" w:ascii="Times New Roman" w:hAnsi="Times New Roman" w:eastAsia="仿宋_GB2312" w:cs="仿宋_GB2312"/>
          <w:smallCaps w:val="0"/>
          <w:color w:val="121212"/>
          <w:spacing w:val="6"/>
          <w:position w:val="6"/>
          <w:sz w:val="32"/>
          <w:szCs w:val="32"/>
          <w:highlight w:val="none"/>
          <w:lang w:eastAsia="zh-CN"/>
        </w:rPr>
        <w:t>（</w:t>
      </w:r>
      <w:r>
        <w:rPr>
          <w:rFonts w:hint="eastAsia" w:ascii="Times New Roman" w:hAnsi="Times New Roman" w:eastAsia="仿宋_GB2312" w:cs="仿宋_GB2312"/>
          <w:smallCaps w:val="0"/>
          <w:color w:val="121212"/>
          <w:spacing w:val="6"/>
          <w:position w:val="6"/>
          <w:sz w:val="32"/>
          <w:szCs w:val="32"/>
          <w:highlight w:val="none"/>
          <w:lang w:val="en-US" w:eastAsia="zh-CN"/>
        </w:rPr>
        <w:t>六</w:t>
      </w:r>
      <w:r>
        <w:rPr>
          <w:rFonts w:hint="eastAsia" w:ascii="Times New Roman" w:hAnsi="Times New Roman" w:eastAsia="仿宋_GB2312" w:cs="仿宋_GB2312"/>
          <w:smallCaps w:val="0"/>
          <w:color w:val="121212"/>
          <w:spacing w:val="6"/>
          <w:position w:val="6"/>
          <w:sz w:val="32"/>
          <w:szCs w:val="32"/>
          <w:highlight w:val="none"/>
        </w:rPr>
        <w:t>）租赁服务订单、交货单亦属于本合同的一部分。本合同自甲、乙双方盖章之日起生效。本合同一式叁份，甲方壹份，乙方贰份，具有同等法律效力。</w:t>
      </w:r>
    </w:p>
    <w:p w14:paraId="25E62B5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黑体" w:cs="黑体"/>
          <w:b w:val="0"/>
          <w:bCs w:val="0"/>
          <w:smallCaps w:val="0"/>
          <w:color w:val="121212"/>
          <w:spacing w:val="6"/>
          <w:position w:val="6"/>
          <w:sz w:val="32"/>
          <w:szCs w:val="32"/>
          <w:highlight w:val="none"/>
        </w:rPr>
      </w:pPr>
      <w:r>
        <w:rPr>
          <w:rFonts w:hint="eastAsia" w:ascii="Times New Roman" w:hAnsi="Times New Roman" w:eastAsia="黑体" w:cs="黑体"/>
          <w:b w:val="0"/>
          <w:bCs w:val="0"/>
          <w:smallCaps w:val="0"/>
          <w:color w:val="121212"/>
          <w:spacing w:val="6"/>
          <w:position w:val="6"/>
          <w:sz w:val="32"/>
          <w:szCs w:val="32"/>
          <w:highlight w:val="none"/>
        </w:rPr>
        <w:t>九、其它约定</w:t>
      </w:r>
    </w:p>
    <w:p w14:paraId="3B9B1F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本合同生效后，取代甲乙双方之前就设备租赁服务事宜达成的书面合意、谅解、备忘录、承诺等。本合同（含订单、交货单）及依据本合同签署的补充协议构成甲乙双方之间的租赁合作事宜，乙方员工私下对甲方所做的任何承诺、折扣等均属于员工个人行为，未经乙方书面同意，不对乙方产生效力。 </w:t>
      </w:r>
    </w:p>
    <w:p w14:paraId="7222A4E5">
      <w:pPr>
        <w:keepNext w:val="0"/>
        <w:keepLines w:val="0"/>
        <w:pageBreakBefore w:val="0"/>
        <w:widowControl w:val="0"/>
        <w:kinsoku/>
        <w:wordWrap/>
        <w:overflowPunct/>
        <w:topLinePunct w:val="0"/>
        <w:autoSpaceDE/>
        <w:autoSpaceDN/>
        <w:bidi w:val="0"/>
        <w:adjustRightInd/>
        <w:snapToGrid/>
        <w:spacing w:line="560" w:lineRule="exact"/>
        <w:ind w:right="0" w:rightChars="0" w:firstLine="656" w:firstLineChars="200"/>
        <w:textAlignment w:val="auto"/>
        <w:rPr>
          <w:rFonts w:hint="eastAsia" w:ascii="Times New Roman" w:hAnsi="Times New Roman" w:eastAsia="仿宋_GB2312" w:cs="仿宋_GB2312"/>
          <w:smallCaps w:val="0"/>
          <w:color w:val="121212"/>
          <w:spacing w:val="4"/>
          <w:sz w:val="32"/>
          <w:szCs w:val="32"/>
          <w:highlight w:val="none"/>
        </w:rPr>
      </w:pPr>
      <w:r>
        <w:rPr>
          <w:rFonts w:hint="eastAsia" w:ascii="Times New Roman" w:hAnsi="Times New Roman" w:eastAsia="仿宋_GB2312" w:cs="仿宋_GB2312"/>
          <w:smallCaps w:val="0"/>
          <w:color w:val="121212"/>
          <w:spacing w:val="4"/>
          <w:sz w:val="32"/>
          <w:szCs w:val="32"/>
          <w:highlight w:val="none"/>
        </w:rPr>
        <w:t>（以下无正文）</w:t>
      </w:r>
    </w:p>
    <w:p w14:paraId="45D4F29D">
      <w:pPr>
        <w:keepNext w:val="0"/>
        <w:keepLines w:val="0"/>
        <w:pageBreakBefore w:val="0"/>
        <w:widowControl w:val="0"/>
        <w:kinsoku/>
        <w:wordWrap/>
        <w:overflowPunct/>
        <w:topLinePunct w:val="0"/>
        <w:autoSpaceDE/>
        <w:autoSpaceDN/>
        <w:bidi w:val="0"/>
        <w:adjustRightInd/>
        <w:snapToGrid/>
        <w:spacing w:line="400" w:lineRule="exact"/>
        <w:ind w:right="0" w:rightChars="0" w:firstLine="659" w:firstLineChars="200"/>
        <w:jc w:val="left"/>
        <w:textAlignment w:val="auto"/>
        <w:rPr>
          <w:rFonts w:hint="eastAsia" w:ascii="Times New Roman" w:hAnsi="Times New Roman" w:eastAsia="仿宋" w:cs="仿宋"/>
          <w:smallCaps w:val="0"/>
          <w:color w:val="121212"/>
          <w:spacing w:val="6"/>
          <w:position w:val="6"/>
          <w:sz w:val="24"/>
          <w:szCs w:val="24"/>
          <w:highlight w:val="none"/>
          <w:u w:val="single"/>
        </w:rPr>
      </w:pPr>
      <w:r>
        <w:rPr>
          <w:rFonts w:hint="eastAsia" w:ascii="Times New Roman" w:hAnsi="Times New Roman" w:eastAsia="仿宋" w:cs="仿宋"/>
          <w:b/>
          <w:bCs/>
          <w:smallCaps w:val="0"/>
          <w:color w:val="121212"/>
          <w:spacing w:val="4"/>
          <w:sz w:val="32"/>
          <w:szCs w:val="32"/>
          <w:highlight w:val="none"/>
        </w:rPr>
        <w:br w:type="textWrapping"/>
      </w:r>
      <w:r>
        <w:rPr>
          <w:rFonts w:hint="eastAsia" w:ascii="Times New Roman" w:hAnsi="Times New Roman" w:eastAsia="仿宋" w:cs="仿宋"/>
          <w:b/>
          <w:bCs/>
          <w:smallCaps w:val="0"/>
          <w:color w:val="121212"/>
          <w:spacing w:val="4"/>
          <w:sz w:val="24"/>
          <w:szCs w:val="24"/>
          <w:highlight w:val="none"/>
        </w:rPr>
        <w:t xml:space="preserve">甲方(盖章)： </w:t>
      </w:r>
      <w:r>
        <w:rPr>
          <w:rFonts w:hint="eastAsia" w:ascii="Times New Roman" w:hAnsi="Times New Roman" w:eastAsia="仿宋" w:cs="仿宋"/>
          <w:b/>
          <w:bCs/>
          <w:smallCaps w:val="0"/>
          <w:color w:val="121212"/>
          <w:spacing w:val="4"/>
          <w:sz w:val="24"/>
          <w:szCs w:val="24"/>
          <w:highlight w:val="none"/>
          <w:lang w:val="en-US" w:eastAsia="zh-CN"/>
        </w:rPr>
        <w:t xml:space="preserve">                        </w:t>
      </w:r>
      <w:r>
        <w:rPr>
          <w:rFonts w:hint="eastAsia" w:ascii="Times New Roman" w:hAnsi="Times New Roman" w:eastAsia="仿宋" w:cs="仿宋"/>
          <w:b/>
          <w:bCs/>
          <w:smallCaps w:val="0"/>
          <w:color w:val="121212"/>
          <w:spacing w:val="4"/>
          <w:sz w:val="24"/>
          <w:szCs w:val="24"/>
          <w:highlight w:val="none"/>
        </w:rPr>
        <w:t xml:space="preserve">乙方(盖章)：                 </w:t>
      </w:r>
    </w:p>
    <w:p w14:paraId="58CE645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b/>
          <w:bCs/>
          <w:smallCaps w:val="0"/>
          <w:color w:val="121212"/>
          <w:spacing w:val="4"/>
          <w:sz w:val="24"/>
          <w:szCs w:val="24"/>
          <w:highlight w:val="none"/>
        </w:rPr>
      </w:pPr>
      <w:r>
        <w:rPr>
          <w:rFonts w:hint="eastAsia" w:ascii="Times New Roman" w:hAnsi="Times New Roman" w:eastAsia="仿宋" w:cs="仿宋"/>
          <w:b/>
          <w:bCs/>
          <w:smallCaps w:val="0"/>
          <w:color w:val="121212"/>
          <w:spacing w:val="4"/>
          <w:sz w:val="24"/>
          <w:szCs w:val="24"/>
          <w:highlight w:val="none"/>
        </w:rPr>
        <w:t>甲方授权代表(签字)：                 乙方授权代表(签字)：</w:t>
      </w:r>
    </w:p>
    <w:p w14:paraId="7E14D4E9">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b/>
          <w:bCs/>
          <w:smallCaps w:val="0"/>
          <w:color w:val="121212"/>
          <w:spacing w:val="4"/>
          <w:sz w:val="24"/>
          <w:szCs w:val="24"/>
          <w:highlight w:val="none"/>
        </w:rPr>
      </w:pPr>
      <w:r>
        <w:rPr>
          <w:rFonts w:hint="eastAsia" w:ascii="Times New Roman" w:hAnsi="Times New Roman" w:eastAsia="仿宋" w:cs="仿宋"/>
          <w:b/>
          <w:bCs/>
          <w:smallCaps w:val="0"/>
          <w:color w:val="121212"/>
          <w:spacing w:val="4"/>
          <w:sz w:val="24"/>
          <w:szCs w:val="24"/>
          <w:highlight w:val="none"/>
        </w:rPr>
        <w:t xml:space="preserve">联系电话：                     </w:t>
      </w:r>
      <w:r>
        <w:rPr>
          <w:rFonts w:hint="eastAsia" w:ascii="Times New Roman" w:hAnsi="Times New Roman" w:eastAsia="仿宋" w:cs="仿宋"/>
          <w:b/>
          <w:bCs/>
          <w:smallCaps w:val="0"/>
          <w:color w:val="121212"/>
          <w:spacing w:val="4"/>
          <w:sz w:val="24"/>
          <w:szCs w:val="24"/>
          <w:highlight w:val="none"/>
          <w:lang w:val="en-US" w:eastAsia="zh-CN"/>
        </w:rPr>
        <w:t xml:space="preserve">      </w:t>
      </w:r>
      <w:r>
        <w:rPr>
          <w:rFonts w:hint="eastAsia" w:ascii="Times New Roman" w:hAnsi="Times New Roman" w:eastAsia="仿宋" w:cs="仿宋"/>
          <w:b/>
          <w:bCs/>
          <w:smallCaps w:val="0"/>
          <w:color w:val="121212"/>
          <w:spacing w:val="4"/>
          <w:sz w:val="24"/>
          <w:szCs w:val="24"/>
          <w:highlight w:val="none"/>
        </w:rPr>
        <w:t>联系电话：</w:t>
      </w:r>
    </w:p>
    <w:p w14:paraId="303FD2D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smallCaps w:val="0"/>
          <w:color w:val="121212"/>
          <w:sz w:val="24"/>
          <w:szCs w:val="24"/>
          <w:highlight w:val="none"/>
        </w:rPr>
      </w:pPr>
      <w:r>
        <w:rPr>
          <w:rFonts w:hint="eastAsia" w:ascii="Times New Roman" w:hAnsi="Times New Roman" w:eastAsia="仿宋" w:cs="仿宋"/>
          <w:b/>
          <w:bCs/>
          <w:smallCaps w:val="0"/>
          <w:color w:val="121212"/>
          <w:spacing w:val="4"/>
          <w:sz w:val="24"/>
          <w:szCs w:val="24"/>
          <w:highlight w:val="none"/>
        </w:rPr>
        <w:t>日期：    年   月   日　             日期：    年   月   日</w:t>
      </w:r>
    </w:p>
    <w:p w14:paraId="0574F317">
      <w:pPr>
        <w:spacing w:line="240" w:lineRule="exact"/>
        <w:rPr>
          <w:rFonts w:hint="eastAsia" w:ascii="Times New Roman" w:hAnsi="Times New Roman" w:eastAsia="仿宋" w:cs="仿宋"/>
          <w:smallCaps w:val="0"/>
          <w:szCs w:val="21"/>
          <w:highlight w:val="none"/>
          <w:lang w:val="en-US" w:eastAsia="zh-CN"/>
        </w:rPr>
      </w:pPr>
    </w:p>
    <w:p w14:paraId="7F750577">
      <w:pPr>
        <w:spacing w:line="240" w:lineRule="exact"/>
        <w:rPr>
          <w:rFonts w:hint="eastAsia" w:ascii="Times New Roman" w:hAnsi="Times New Roman" w:eastAsia="仿宋" w:cs="仿宋"/>
          <w:smallCaps w:val="0"/>
          <w:szCs w:val="21"/>
          <w:highlight w:val="none"/>
          <w:lang w:val="en-US" w:eastAsia="zh-CN"/>
        </w:rPr>
      </w:pPr>
    </w:p>
    <w:p w14:paraId="2382C09D">
      <w:pPr>
        <w:spacing w:line="240" w:lineRule="exact"/>
        <w:rPr>
          <w:rFonts w:hint="eastAsia" w:ascii="Times New Roman" w:hAnsi="Times New Roman" w:eastAsia="仿宋" w:cs="仿宋"/>
          <w:smallCaps w:val="0"/>
          <w:szCs w:val="21"/>
          <w:highlight w:val="none"/>
          <w:lang w:val="en-US" w:eastAsia="zh-CN"/>
        </w:rPr>
      </w:pPr>
    </w:p>
    <w:p w14:paraId="15A41AA1">
      <w:pPr>
        <w:spacing w:line="240" w:lineRule="exact"/>
        <w:rPr>
          <w:rFonts w:hint="eastAsia" w:ascii="Times New Roman" w:hAnsi="Times New Roman" w:eastAsia="仿宋" w:cs="仿宋"/>
          <w:smallCaps w:val="0"/>
          <w:szCs w:val="21"/>
          <w:highlight w:val="none"/>
          <w:lang w:val="en-US" w:eastAsia="zh-CN"/>
        </w:rPr>
      </w:pPr>
    </w:p>
    <w:p w14:paraId="6DE54FD2">
      <w:pPr>
        <w:spacing w:line="240" w:lineRule="exact"/>
        <w:rPr>
          <w:rFonts w:hint="eastAsia" w:ascii="Times New Roman" w:hAnsi="Times New Roman" w:eastAsia="仿宋" w:cs="仿宋"/>
          <w:smallCaps w:val="0"/>
          <w:szCs w:val="21"/>
          <w:highlight w:val="none"/>
          <w:lang w:val="en-US" w:eastAsia="zh-CN"/>
        </w:rPr>
      </w:pPr>
    </w:p>
    <w:p w14:paraId="503966B7">
      <w:pPr>
        <w:spacing w:line="240" w:lineRule="exact"/>
        <w:rPr>
          <w:rFonts w:ascii="Times New Roman" w:hAnsi="Times New Roman" w:eastAsia="仿宋" w:cs="仿宋"/>
          <w:smallCaps w:val="0"/>
          <w:szCs w:val="21"/>
          <w:highlight w:val="none"/>
        </w:rPr>
      </w:pPr>
      <w:r>
        <w:rPr>
          <w:rFonts w:hint="eastAsia" w:ascii="Times New Roman" w:hAnsi="Times New Roman" w:eastAsia="仿宋" w:cs="仿宋"/>
          <w:smallCaps w:val="0"/>
          <w:szCs w:val="21"/>
          <w:highlight w:val="none"/>
          <w:lang w:val="en-US" w:eastAsia="zh-CN"/>
        </w:rPr>
        <w:t>采购</w:t>
      </w:r>
      <w:r>
        <w:rPr>
          <w:rFonts w:hint="eastAsia" w:ascii="Times New Roman" w:hAnsi="Times New Roman" w:eastAsia="仿宋" w:cs="仿宋"/>
          <w:smallCaps w:val="0"/>
          <w:szCs w:val="21"/>
          <w:highlight w:val="none"/>
        </w:rPr>
        <w:t>合同附件1：</w:t>
      </w:r>
    </w:p>
    <w:p w14:paraId="4DD61C76">
      <w:pPr>
        <w:widowControl w:val="0"/>
        <w:spacing w:line="400" w:lineRule="exact"/>
        <w:ind w:right="-512" w:rightChars="-244" w:firstLine="2880" w:firstLineChars="800"/>
        <w:rPr>
          <w:rFonts w:ascii="Times New Roman" w:hAnsi="Times New Roman" w:eastAsia="方正小标宋简体" w:cs="方正小标宋简体"/>
          <w:smallCaps w:val="0"/>
          <w:sz w:val="36"/>
          <w:szCs w:val="36"/>
          <w:highlight w:val="none"/>
        </w:rPr>
      </w:pPr>
      <w:r>
        <w:rPr>
          <w:rFonts w:hint="eastAsia" w:ascii="Times New Roman" w:hAnsi="Times New Roman" w:eastAsia="方正小标宋简体" w:cs="方正小标宋简体"/>
          <w:smallCaps w:val="0"/>
          <w:sz w:val="36"/>
          <w:szCs w:val="36"/>
          <w:highlight w:val="none"/>
        </w:rPr>
        <w:t>供需双方廉洁互保协议</w:t>
      </w:r>
    </w:p>
    <w:p w14:paraId="211C951B">
      <w:pPr>
        <w:keepNext w:val="0"/>
        <w:keepLines w:val="0"/>
        <w:pageBreakBefore w:val="0"/>
        <w:widowControl w:val="0"/>
        <w:kinsoku/>
        <w:wordWrap w:val="0"/>
        <w:overflowPunct/>
        <w:topLinePunct w:val="0"/>
        <w:autoSpaceDE/>
        <w:autoSpaceDN/>
        <w:bidi w:val="0"/>
        <w:adjustRightInd/>
        <w:snapToGrid/>
        <w:spacing w:line="280" w:lineRule="exact"/>
        <w:ind w:left="-420" w:leftChars="-200" w:right="-512" w:rightChars="-244" w:firstLine="420" w:firstLineChars="175"/>
        <w:textAlignment w:val="auto"/>
        <w:rPr>
          <w:rFonts w:hint="eastAsia" w:ascii="仿宋_GB2312" w:hAnsi="仿宋_GB2312" w:eastAsia="仿宋_GB2312" w:cs="仿宋_GB2312"/>
          <w:smallCaps w:val="0"/>
          <w:sz w:val="24"/>
          <w:highlight w:val="none"/>
          <w:u w:val="thick"/>
        </w:rPr>
      </w:pPr>
      <w:r>
        <w:rPr>
          <w:rFonts w:hint="eastAsia" w:ascii="仿宋_GB2312" w:hAnsi="仿宋_GB2312" w:eastAsia="仿宋_GB2312" w:cs="仿宋_GB2312"/>
          <w:smallCaps w:val="0"/>
          <w:sz w:val="24"/>
          <w:highlight w:val="none"/>
        </w:rPr>
        <w:t>甲方：</w:t>
      </w:r>
      <w:r>
        <w:rPr>
          <w:rFonts w:hint="eastAsia" w:ascii="仿宋_GB2312" w:hAnsi="仿宋_GB2312" w:eastAsia="仿宋_GB2312" w:cs="仿宋_GB2312"/>
          <w:smallCaps w:val="0"/>
          <w:sz w:val="24"/>
          <w:highlight w:val="none"/>
          <w:u w:val="single"/>
        </w:rPr>
        <w:t>深圳市鹏劳人力资源管理有限公司</w:t>
      </w:r>
    </w:p>
    <w:p w14:paraId="7175AE87">
      <w:pPr>
        <w:keepNext w:val="0"/>
        <w:keepLines w:val="0"/>
        <w:pageBreakBefore w:val="0"/>
        <w:widowControl w:val="0"/>
        <w:kinsoku/>
        <w:wordWrap w:val="0"/>
        <w:overflowPunct/>
        <w:topLinePunct w:val="0"/>
        <w:autoSpaceDE/>
        <w:autoSpaceDN/>
        <w:bidi w:val="0"/>
        <w:adjustRightInd/>
        <w:snapToGrid/>
        <w:spacing w:line="280" w:lineRule="exact"/>
        <w:ind w:left="-420" w:leftChars="-200" w:right="-512" w:rightChars="-244" w:firstLine="420" w:firstLineChars="175"/>
        <w:textAlignment w:val="auto"/>
        <w:rPr>
          <w:rFonts w:hint="eastAsia" w:ascii="仿宋_GB2312" w:hAnsi="仿宋_GB2312" w:eastAsia="仿宋_GB2312" w:cs="仿宋_GB2312"/>
          <w:smallCaps w:val="0"/>
          <w:sz w:val="24"/>
          <w:highlight w:val="none"/>
          <w:u w:val="thick"/>
        </w:rPr>
      </w:pPr>
      <w:r>
        <w:rPr>
          <w:rFonts w:hint="eastAsia" w:ascii="仿宋_GB2312" w:hAnsi="仿宋_GB2312" w:eastAsia="仿宋_GB2312" w:cs="仿宋_GB2312"/>
          <w:smallCaps w:val="0"/>
          <w:sz w:val="24"/>
          <w:highlight w:val="none"/>
        </w:rPr>
        <w:t>乙方：</w:t>
      </w:r>
      <w:r>
        <w:rPr>
          <w:rFonts w:hint="eastAsia" w:ascii="仿宋_GB2312" w:hAnsi="仿宋_GB2312" w:eastAsia="仿宋_GB2312" w:cs="仿宋_GB2312"/>
          <w:smallCaps w:val="0"/>
          <w:sz w:val="24"/>
          <w:highlight w:val="none"/>
          <w:u w:val="single"/>
        </w:rPr>
        <w:t xml:space="preserve">                             </w:t>
      </w:r>
    </w:p>
    <w:p w14:paraId="7166C8B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为规范双方业务往来活动，建立诚实守信的商务合作关系，共同维护双方合法权益，防止违规违纪行为发生，经友好协商，双方就业务往来中的廉洁事宜达成此互保协议。</w:t>
      </w:r>
    </w:p>
    <w:p w14:paraId="515112AF">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第一条  甲乙双方共同的权利和义务：</w:t>
      </w:r>
    </w:p>
    <w:p w14:paraId="33BA236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严格遵守国家有关法律法规，坚持诚实守信原则，恪守商业道德，规范商务人员廉洁从业行为；</w:t>
      </w:r>
    </w:p>
    <w:p w14:paraId="48844BDC">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双方业务活动坚持公开、公正、诚信、透明的原则（商业秘密和合同文件另有规定的除外），不得损害国家和对方利益；</w:t>
      </w:r>
    </w:p>
    <w:p w14:paraId="44DFE95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发现对方工作人员在业务活动中有违反廉洁规定的行为，有及时要求对方纠正并向对方举报的权利和义务；涉嫌违法的，可以依法向有关部门举报；</w:t>
      </w:r>
    </w:p>
    <w:p w14:paraId="6A18109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对涉嫌不廉洁的商业行为进行调查时，双方有相互配合、提供证据、作证的义务；</w:t>
      </w:r>
    </w:p>
    <w:p w14:paraId="4C210F5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 xml:space="preserve">5. 双方应依法保护举报人员，不得以任何方式对举报人员进行打击报复。 </w:t>
      </w:r>
    </w:p>
    <w:p w14:paraId="1C620CA1">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第二条  甲方的廉洁责任：</w:t>
      </w:r>
    </w:p>
    <w:p w14:paraId="5EF4CF98">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甲方工作人员不得以任何形式索要或接受乙方的礼金、礼品和有价证券，不得在乙方报销任何应由个人支付的各种费用；</w:t>
      </w:r>
    </w:p>
    <w:p w14:paraId="4CB97A1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甲方工作人员不得私自参加乙方安排的宴请，不得私自接受乙方提供的通讯、交通工具和办公用品，不得向乙方泄露谈判中的商业秘密；</w:t>
      </w:r>
    </w:p>
    <w:p w14:paraId="4D4872D3">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甲方工作人员不得要求或者接受乙方以住房装修、婚丧嫁娶、家属及其他亲属的工作安排、出国出境、旅游等为理由所提供的方便；</w:t>
      </w:r>
    </w:p>
    <w:p w14:paraId="1AE3AA8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甲方工作人员不得以任何理由向乙方推荐物资供应单位、工程承包或劳务分包单位，合同另有约定的除外；</w:t>
      </w:r>
    </w:p>
    <w:p w14:paraId="274E732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5. 其它违反廉洁规定的行为。</w:t>
      </w:r>
    </w:p>
    <w:p w14:paraId="1D79FDC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第三条  乙方的廉洁责任：</w:t>
      </w:r>
    </w:p>
    <w:p w14:paraId="15B9BC8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乙方及其工作人员不得为甲方工作人员提供回扣、礼金、有价证券、贵重物品和报销个人费用；</w:t>
      </w:r>
    </w:p>
    <w:p w14:paraId="5154075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乙方及其工作人员不得为甲方工作人员安排有可能影响公平、公正交易的宴请、健身、娱乐等活动；</w:t>
      </w:r>
    </w:p>
    <w:p w14:paraId="5452E02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乙方及其工作人员不得为甲方工作人员投资入股、个人借款或买卖股票、债券、购买或装修住房、婚丧嫁娶、配偶子女上学或工作安排以及出国出境、旅游等等提供方便；</w:t>
      </w:r>
    </w:p>
    <w:p w14:paraId="1B3B6C79">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乙方及其工作人员不得为甲方工作人员在其相关企业挂名兼职、合伙经营、介绍承揽业务等提供方便；</w:t>
      </w:r>
    </w:p>
    <w:p w14:paraId="419942DB">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5. 其它违反廉洁规定的行为。</w:t>
      </w:r>
    </w:p>
    <w:p w14:paraId="069944C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第四条  甲方工作人员有违反本协议行为的，甲方应按照干部管理权限，依据有关规定给予相应党政纪处分、组织处理或经济处罚；涉嫌犯罪的，移交司法机关追究法律责任。</w:t>
      </w:r>
    </w:p>
    <w:p w14:paraId="2B08ED1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第五条  乙方及其工作人员有违反本协议行为的，甲方有权根据情节和所造成的影响采取以下相应措施：</w:t>
      </w:r>
    </w:p>
    <w:p w14:paraId="6030145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情节轻微的，要求乙方对相关工作人员进行处分处理，并限期整改；</w:t>
      </w:r>
    </w:p>
    <w:p w14:paraId="60FA6B44">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致甲方工作人员受到组织处理、纪律处分或构成违法犯罪的，给甲方造成重大社会影响或重大经济损失的，甲方有权解除双方尚未履行完毕的业务合同，暂停支付合同未结算款项，甲方遭受的损失由乙方负责赔偿，乙方因甲方解除合同产生的损失由乙方自行承担，列入永久禁入深圳市鹏劳人力资源管理有限公司市场黑名单。</w:t>
      </w:r>
    </w:p>
    <w:p w14:paraId="34CC1E3E">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第六条  本协议作为双方签订《深圳市鹏劳人力资源管理有限公司</w:t>
      </w:r>
      <w:r>
        <w:rPr>
          <w:rFonts w:hint="eastAsia" w:ascii="仿宋_GB2312" w:hAnsi="仿宋_GB2312" w:eastAsia="仿宋_GB2312" w:cs="仿宋_GB2312"/>
          <w:smallCaps w:val="0"/>
          <w:sz w:val="24"/>
          <w:highlight w:val="none"/>
          <w:lang w:val="en-US" w:eastAsia="zh-CN"/>
        </w:rPr>
        <w:t>电脑设备租赁服务</w:t>
      </w:r>
      <w:r>
        <w:rPr>
          <w:rFonts w:hint="eastAsia" w:ascii="仿宋_GB2312" w:hAnsi="仿宋_GB2312" w:eastAsia="仿宋_GB2312" w:cs="仿宋_GB2312"/>
          <w:smallCaps w:val="0"/>
          <w:sz w:val="24"/>
          <w:highlight w:val="none"/>
        </w:rPr>
        <w:t>采购项目》的组成部分，与《深圳市鹏劳人力资源管理有限公司</w:t>
      </w:r>
      <w:r>
        <w:rPr>
          <w:rFonts w:hint="eastAsia" w:ascii="仿宋_GB2312" w:hAnsi="仿宋_GB2312" w:eastAsia="仿宋_GB2312" w:cs="仿宋_GB2312"/>
          <w:smallCaps w:val="0"/>
          <w:sz w:val="24"/>
          <w:highlight w:val="none"/>
          <w:lang w:val="en-US" w:eastAsia="zh-CN"/>
        </w:rPr>
        <w:t>电脑设备租赁服务</w:t>
      </w:r>
      <w:r>
        <w:rPr>
          <w:rFonts w:hint="eastAsia" w:ascii="仿宋_GB2312" w:hAnsi="仿宋_GB2312" w:eastAsia="仿宋_GB2312" w:cs="仿宋_GB2312"/>
          <w:smallCaps w:val="0"/>
          <w:sz w:val="24"/>
          <w:highlight w:val="none"/>
        </w:rPr>
        <w:t>采购项目》具有同等法律效力。</w:t>
      </w:r>
    </w:p>
    <w:p w14:paraId="3C4F1F11">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第七条  本协议一式三份，甲乙双方各执一份，鹏劳公司纪检委员存档一份，自双方签字盖章之日起生效，有效期与合同履约期一致。</w:t>
      </w:r>
    </w:p>
    <w:p w14:paraId="204420C3">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p>
    <w:p w14:paraId="02A436C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甲方：（盖章）                           乙方：（盖章）</w:t>
      </w:r>
    </w:p>
    <w:p w14:paraId="7DA7C9EE">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 xml:space="preserve">法定代表人或授权代表：（签字）           法定代表人或授权代表：（签字）      </w:t>
      </w:r>
    </w:p>
    <w:p w14:paraId="0C1A155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8"/>
          <w:szCs w:val="28"/>
          <w:highlight w:val="none"/>
        </w:rPr>
      </w:pPr>
      <w:r>
        <w:rPr>
          <w:rFonts w:hint="eastAsia" w:ascii="仿宋_GB2312" w:hAnsi="仿宋_GB2312" w:eastAsia="仿宋_GB2312" w:cs="仿宋_GB2312"/>
          <w:smallCaps w:val="0"/>
          <w:sz w:val="24"/>
          <w:highlight w:val="none"/>
        </w:rPr>
        <w:t>日期：                                   日期：</w:t>
      </w:r>
    </w:p>
    <w:p w14:paraId="7684AC5A">
      <w:pPr>
        <w:spacing w:line="400" w:lineRule="exact"/>
        <w:ind w:left="-420" w:leftChars="-200" w:firstLine="492" w:firstLineChars="175"/>
        <w:rPr>
          <w:rFonts w:ascii="Times New Roman" w:hAnsi="Times New Roman" w:eastAsia="仿宋" w:cs="仿宋"/>
          <w:smallCaps w:val="0"/>
          <w:szCs w:val="21"/>
          <w:highlight w:val="none"/>
        </w:rPr>
      </w:pPr>
      <w:r>
        <w:rPr>
          <w:rFonts w:hint="eastAsia" w:ascii="仿宋_GB2312" w:hAnsi="仿宋_GB2312" w:eastAsia="仿宋_GB2312" w:cs="仿宋_GB2312"/>
          <w:b/>
          <w:smallCaps w:val="0"/>
          <w:sz w:val="28"/>
          <w:szCs w:val="28"/>
          <w:highlight w:val="none"/>
        </w:rPr>
        <w:br w:type="page"/>
      </w:r>
      <w:r>
        <w:rPr>
          <w:rFonts w:hint="eastAsia" w:ascii="Times New Roman" w:hAnsi="Times New Roman" w:eastAsia="仿宋" w:cs="仿宋"/>
          <w:smallCaps w:val="0"/>
          <w:szCs w:val="21"/>
          <w:highlight w:val="none"/>
        </w:rPr>
        <w:t>采购合同附件2：</w:t>
      </w:r>
    </w:p>
    <w:p w14:paraId="0C4B3B6E">
      <w:pPr>
        <w:spacing w:line="400" w:lineRule="exact"/>
        <w:ind w:firstLine="720"/>
        <w:jc w:val="center"/>
        <w:rPr>
          <w:rFonts w:ascii="Times New Roman" w:hAnsi="Times New Roman" w:eastAsia="方正小标宋简体" w:cs="方正小标宋简体"/>
          <w:smallCaps w:val="0"/>
          <w:sz w:val="36"/>
          <w:szCs w:val="36"/>
          <w:highlight w:val="none"/>
        </w:rPr>
      </w:pPr>
      <w:r>
        <w:rPr>
          <w:rFonts w:hint="eastAsia" w:ascii="Times New Roman" w:hAnsi="Times New Roman" w:eastAsia="方正小标宋简体" w:cs="方正小标宋简体"/>
          <w:smallCaps w:val="0"/>
          <w:sz w:val="36"/>
          <w:szCs w:val="36"/>
          <w:highlight w:val="none"/>
        </w:rPr>
        <w:t>深圳市鹏劳人力资源管理有限公司供应商环境及职业健康安全体系符合性承诺书</w:t>
      </w:r>
    </w:p>
    <w:p w14:paraId="07CBEB39">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甲方：深圳市鹏劳人力资源管理有限公司</w:t>
      </w:r>
    </w:p>
    <w:p w14:paraId="24127946">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w:t>
      </w:r>
    </w:p>
    <w:p w14:paraId="4E6D3EE0">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作为甲方本项目供应商，乙方就环境及职业健康安全体系符合性相关事宜作出以下承诺，并在合作过程中严格遵守：</w:t>
      </w:r>
    </w:p>
    <w:p w14:paraId="4CFD8B7B">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乙方承诺，乙方为甲方提供的服务或产品及其全过程符合国家各类法律法规要求、符合ISO14001,45001体系标准的要求，不因服务或产品的提供导致环境污染或关联人员职业健康安全危害；</w:t>
      </w:r>
    </w:p>
    <w:p w14:paraId="10DF6605">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甲方有权就乙方服务或产品及提供服务或产品的人员情况实施观察、监测，如发生可能对甲方人员职业健康安全或甲方经营场所环境安全、关联方环境安全造成不利影响或潜在隐患的，甲方有权对乙方提出改进要求，并由乙方实施改进直至隐患或影响完全消除；</w:t>
      </w:r>
    </w:p>
    <w:p w14:paraId="0B0BE64A">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经甲方书面要求，乙方在5个工作日内未实施有效改善， 经甲方二次排查，其隐患或负面影响仍未消除至合理标准，或整改效果不符合体系标准的，甲方有权即时解除或终止双方合作且不负任何法律和经济责任。</w:t>
      </w:r>
    </w:p>
    <w:p w14:paraId="317F33DF">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因违反ISO14001、45001体系标准，导致重大负面舆情或主管部门检查严重违规等事项，甲方有权即时解除或终止双方合作且不符任何法律和经济责任。如乙方违反体系标准的事项发生在为甲方提供服务或产品的过程中，给甲方造成经济或商誉损失的，乙方承诺赔偿。</w:t>
      </w:r>
    </w:p>
    <w:p w14:paraId="7742CC7D">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乙方在为甲方提供服务、产品的过程中，应主动、持续改善相关因素，以提升乙方环境安全及职业健康安全管理水平。</w:t>
      </w:r>
    </w:p>
    <w:p w14:paraId="1240B241">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在服务或产品提供过程中，乙方应自觉遵守道路交通规则、有关法律法规，以确保安全、对环境无害、最大程度合理利用和节约的方式妥善处理甲方委托事项或为甲方提供相关产品。</w:t>
      </w:r>
    </w:p>
    <w:p w14:paraId="2C63D54A">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对其派出为甲方提供服务或产品转运、递送的人员行为负有约束、规范的责任。如甲方或甲方工作处所物业发现乙方工作人员存在不安全、不环保行为时，甲方有权予以制止，同时，要求乙方更换人员直至其工作行为能够符合甲方要求。</w:t>
      </w:r>
    </w:p>
    <w:p w14:paraId="6CFE268D">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同意，如因疫情、其他自然灾害或重大客观条件变化导致双方合作需要中止以配合国家及地区政府主管部门要求及规定，或服务、供给状态无法满足相关环境、职业健康安全防护的相关政策规定时，乙方将根据甲方合理要求及时调整服务或供给条件以使其符合法律法规或政策要求，并不影响甲方及甲方员工的合同权益。</w:t>
      </w:r>
    </w:p>
    <w:p w14:paraId="1B2BB13C">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本承诺书作为乙方作为甲方供应商库入库</w:t>
      </w:r>
      <w:r>
        <w:rPr>
          <w:rFonts w:hint="eastAsia" w:ascii="Times New Roman" w:hAnsi="Times New Roman" w:eastAsia="仿宋_GB2312"/>
          <w:smallCaps w:val="0"/>
          <w:sz w:val="24"/>
          <w:highlight w:val="none"/>
          <w:lang w:eastAsia="zh-CN"/>
        </w:rPr>
        <w:t>、项目采购合同履行</w:t>
      </w:r>
      <w:r>
        <w:rPr>
          <w:rFonts w:hint="eastAsia" w:ascii="Times New Roman" w:hAnsi="Times New Roman" w:eastAsia="仿宋_GB2312"/>
          <w:smallCaps w:val="0"/>
          <w:sz w:val="24"/>
          <w:highlight w:val="none"/>
        </w:rPr>
        <w:t>的必要文件，自乙方（承诺方）盖章签字后生效，原件一式两份。如主合同约定与本协议冲突的，以本协议内容为准。</w:t>
      </w:r>
    </w:p>
    <w:p w14:paraId="57E8D7F4">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p>
    <w:p w14:paraId="5AEBEB38">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乙方（承诺方）：_______________________________</w:t>
      </w:r>
    </w:p>
    <w:p w14:paraId="5442D937">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有权签字人：</w:t>
      </w:r>
    </w:p>
    <w:p w14:paraId="4407C08E">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日期：</w:t>
      </w:r>
    </w:p>
    <w:p w14:paraId="568A1428">
      <w:pPr>
        <w:rPr>
          <w:rFonts w:hint="default" w:ascii="Times New Roman" w:hAnsi="Times New Roman" w:eastAsia="仿宋_GB2312" w:cs="仿宋"/>
          <w:smallCaps w:val="0"/>
          <w:sz w:val="32"/>
          <w:szCs w:val="32"/>
          <w:highlight w:val="none"/>
          <w:u w:val="single"/>
          <w:lang w:val="en-US" w:eastAsia="zh-CN"/>
        </w:rPr>
      </w:pPr>
    </w:p>
    <w:p w14:paraId="32253FE8">
      <w:pPr>
        <w:pStyle w:val="3"/>
        <w:pageBreakBefore w:val="0"/>
        <w:kinsoku/>
        <w:overflowPunct/>
        <w:topLinePunct w:val="0"/>
        <w:autoSpaceDE/>
        <w:autoSpaceDN/>
        <w:bidi w:val="0"/>
        <w:spacing w:line="560" w:lineRule="exact"/>
        <w:jc w:val="center"/>
        <w:rPr>
          <w:rFonts w:hint="eastAsia" w:ascii="Times New Roman" w:hAnsi="Times New Roman" w:eastAsia="黑体" w:cs="黑体"/>
          <w:smallCaps w:val="0"/>
          <w:sz w:val="32"/>
          <w:szCs w:val="32"/>
          <w:highlight w:val="none"/>
        </w:rPr>
      </w:pPr>
      <w:bookmarkStart w:id="55" w:name="_Toc30677"/>
      <w:r>
        <w:rPr>
          <w:rFonts w:hint="eastAsia" w:ascii="Times New Roman" w:hAnsi="Times New Roman" w:eastAsia="黑体" w:cs="黑体"/>
          <w:smallCaps w:val="0"/>
          <w:sz w:val="32"/>
          <w:szCs w:val="32"/>
          <w:highlight w:val="none"/>
        </w:rPr>
        <w:t>第四章 投标文件格式</w:t>
      </w:r>
      <w:bookmarkEnd w:id="54"/>
      <w:bookmarkEnd w:id="55"/>
    </w:p>
    <w:p w14:paraId="35481C90">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2"/>
          <w:szCs w:val="22"/>
          <w:highlight w:val="none"/>
          <w:lang w:val="zh-CN"/>
        </w:rPr>
      </w:pPr>
      <w:bookmarkStart w:id="56" w:name="_Toc27533"/>
      <w:bookmarkStart w:id="57" w:name="_Toc2856"/>
      <w:r>
        <w:rPr>
          <w:rFonts w:hint="eastAsia" w:ascii="Times New Roman" w:hAnsi="Times New Roman" w:eastAsia="仿宋" w:cs="仿宋"/>
          <w:bCs w:val="0"/>
          <w:smallCaps w:val="0"/>
          <w:sz w:val="22"/>
          <w:szCs w:val="22"/>
          <w:highlight w:val="none"/>
          <w:lang w:val="zh-CN"/>
        </w:rPr>
        <w:t>格式1：《唱标信封》</w:t>
      </w:r>
      <w:bookmarkEnd w:id="56"/>
      <w:bookmarkEnd w:id="57"/>
    </w:p>
    <w:p w14:paraId="47A1FD75">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192F5A69">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7B75BB4C">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5AC9CD8D">
      <w:pPr>
        <w:pageBreakBefore w:val="0"/>
        <w:kinsoku/>
        <w:overflowPunct/>
        <w:topLinePunct w:val="0"/>
        <w:autoSpaceDE/>
        <w:autoSpaceDN/>
        <w:bidi w:val="0"/>
        <w:spacing w:line="560" w:lineRule="exact"/>
        <w:jc w:val="center"/>
        <w:rPr>
          <w:rFonts w:hint="eastAsia" w:ascii="Times New Roman" w:hAnsi="Times New Roman" w:eastAsia="方正小标宋简体" w:cs="方正小标宋简体"/>
          <w:b w:val="0"/>
          <w:bCs/>
          <w:smallCaps w:val="0"/>
          <w:sz w:val="52"/>
          <w:szCs w:val="52"/>
          <w:highlight w:val="none"/>
        </w:rPr>
      </w:pPr>
      <w:r>
        <w:rPr>
          <w:rFonts w:hint="eastAsia" w:ascii="Times New Roman" w:hAnsi="Times New Roman" w:eastAsia="方正小标宋简体" w:cs="方正小标宋简体"/>
          <w:b w:val="0"/>
          <w:bCs/>
          <w:smallCaps w:val="0"/>
          <w:sz w:val="52"/>
          <w:szCs w:val="52"/>
          <w:highlight w:val="none"/>
        </w:rPr>
        <w:t>唱 标 信 封</w:t>
      </w:r>
    </w:p>
    <w:p w14:paraId="0215796D">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010058A7">
      <w:pPr>
        <w:pageBreakBefore w:val="0"/>
        <w:kinsoku/>
        <w:overflowPunct/>
        <w:topLinePunct w:val="0"/>
        <w:autoSpaceDE/>
        <w:autoSpaceDN/>
        <w:bidi w:val="0"/>
        <w:spacing w:beforeLines="30" w:line="560" w:lineRule="exact"/>
        <w:rPr>
          <w:rFonts w:hint="eastAsia" w:ascii="仿宋_GB2312" w:hAnsi="仿宋_GB2312" w:eastAsia="仿宋_GB2312" w:cs="仿宋_GB2312"/>
          <w:b/>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项目名称：</w:t>
      </w:r>
      <w:r>
        <w:rPr>
          <w:rFonts w:hint="eastAsia" w:ascii="仿宋_GB2312" w:hAnsi="仿宋_GB2312" w:eastAsia="仿宋_GB2312" w:cs="仿宋_GB2312"/>
          <w:b/>
          <w:smallCaps w:val="0"/>
          <w:sz w:val="32"/>
          <w:szCs w:val="32"/>
          <w:highlight w:val="none"/>
          <w:u w:val="single"/>
          <w:lang w:val="en-US" w:eastAsia="zh-CN"/>
        </w:rPr>
        <w:t xml:space="preserve">                   </w:t>
      </w:r>
    </w:p>
    <w:p w14:paraId="53EF3391">
      <w:pPr>
        <w:pageBreakBefore w:val="0"/>
        <w:kinsoku/>
        <w:overflowPunct/>
        <w:topLinePunct w:val="0"/>
        <w:autoSpaceDE/>
        <w:autoSpaceDN/>
        <w:bidi w:val="0"/>
        <w:spacing w:beforeLines="30" w:line="560" w:lineRule="exact"/>
        <w:rPr>
          <w:rFonts w:hint="default" w:ascii="仿宋_GB2312" w:hAnsi="仿宋_GB2312" w:eastAsia="仿宋_GB2312" w:cs="仿宋_GB2312"/>
          <w:b/>
          <w:smallCaps w:val="0"/>
          <w:sz w:val="32"/>
          <w:szCs w:val="32"/>
          <w:highlight w:val="none"/>
          <w:lang w:val="en-US" w:eastAsia="zh-CN"/>
        </w:rPr>
      </w:pPr>
      <w:r>
        <w:rPr>
          <w:rFonts w:hint="eastAsia" w:ascii="仿宋_GB2312" w:hAnsi="仿宋_GB2312" w:eastAsia="仿宋_GB2312" w:cs="仿宋_GB2312"/>
          <w:b/>
          <w:smallCaps w:val="0"/>
          <w:sz w:val="32"/>
          <w:szCs w:val="32"/>
          <w:highlight w:val="none"/>
        </w:rPr>
        <w:t>招标编号：</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Times New Roman" w:hAnsi="Times New Roman" w:eastAsia="仿宋_GB2312" w:cs="仿宋_GB2312"/>
          <w:b w:val="0"/>
          <w:bCs/>
          <w:smallCaps w:val="0"/>
          <w:sz w:val="32"/>
          <w:szCs w:val="32"/>
          <w:highlight w:val="none"/>
          <w:u w:val="single"/>
        </w:rPr>
        <w:t>PLHR-ZB-FW-202</w:t>
      </w:r>
      <w:r>
        <w:rPr>
          <w:rFonts w:hint="eastAsia" w:ascii="Times New Roman" w:hAnsi="Times New Roman" w:eastAsia="仿宋_GB2312" w:cs="仿宋_GB2312"/>
          <w:b w:val="0"/>
          <w:bCs/>
          <w:smallCaps w:val="0"/>
          <w:sz w:val="32"/>
          <w:szCs w:val="32"/>
          <w:highlight w:val="none"/>
          <w:u w:val="single"/>
          <w:lang w:val="en-US" w:eastAsia="zh-CN"/>
        </w:rPr>
        <w:t xml:space="preserve">407 </w:t>
      </w:r>
    </w:p>
    <w:p w14:paraId="7E7DCE00">
      <w:pPr>
        <w:pageBreakBefore w:val="0"/>
        <w:kinsoku/>
        <w:overflowPunct/>
        <w:topLinePunct w:val="0"/>
        <w:autoSpaceDE/>
        <w:autoSpaceDN/>
        <w:bidi w:val="0"/>
        <w:spacing w:beforeLines="30" w:line="560" w:lineRule="exact"/>
        <w:rPr>
          <w:rFonts w:hint="eastAsia" w:ascii="仿宋_GB2312" w:hAnsi="仿宋_GB2312" w:eastAsia="仿宋_GB2312" w:cs="仿宋_GB2312"/>
          <w:b w:val="0"/>
          <w:bCs/>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投标人（盖章）：</w:t>
      </w:r>
      <w:r>
        <w:rPr>
          <w:rFonts w:hint="eastAsia" w:ascii="仿宋_GB2312" w:hAnsi="仿宋_GB2312" w:eastAsia="仿宋_GB2312" w:cs="仿宋_GB2312"/>
          <w:b w:val="0"/>
          <w:bCs/>
          <w:smallCaps w:val="0"/>
          <w:sz w:val="32"/>
          <w:szCs w:val="32"/>
          <w:highlight w:val="none"/>
          <w:u w:val="single"/>
          <w:lang w:val="en-US" w:eastAsia="zh-CN"/>
        </w:rPr>
        <w:t xml:space="preserve">                   </w:t>
      </w:r>
    </w:p>
    <w:p w14:paraId="3A961F9E">
      <w:pPr>
        <w:pageBreakBefore w:val="0"/>
        <w:kinsoku/>
        <w:overflowPunct/>
        <w:topLinePunct w:val="0"/>
        <w:autoSpaceDE/>
        <w:autoSpaceDN/>
        <w:bidi w:val="0"/>
        <w:spacing w:beforeLines="30" w:line="560" w:lineRule="exact"/>
        <w:rPr>
          <w:rFonts w:hint="eastAsia" w:ascii="仿宋_GB2312" w:hAnsi="仿宋_GB2312" w:eastAsia="仿宋_GB2312" w:cs="仿宋_GB2312"/>
          <w:b w:val="0"/>
          <w:bCs/>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法定代表人或授权委托人签字：</w:t>
      </w:r>
      <w:r>
        <w:rPr>
          <w:rFonts w:hint="eastAsia" w:ascii="仿宋_GB2312" w:hAnsi="仿宋_GB2312" w:eastAsia="仿宋_GB2312" w:cs="仿宋_GB2312"/>
          <w:b w:val="0"/>
          <w:bCs/>
          <w:smallCaps w:val="0"/>
          <w:sz w:val="32"/>
          <w:szCs w:val="32"/>
          <w:highlight w:val="none"/>
          <w:u w:val="single"/>
          <w:lang w:val="en-US" w:eastAsia="zh-CN"/>
        </w:rPr>
        <w:t xml:space="preserve">                   </w:t>
      </w:r>
    </w:p>
    <w:p w14:paraId="57106815">
      <w:pPr>
        <w:pageBreakBefore w:val="0"/>
        <w:kinsoku/>
        <w:overflowPunct/>
        <w:topLinePunct w:val="0"/>
        <w:autoSpaceDE/>
        <w:autoSpaceDN/>
        <w:bidi w:val="0"/>
        <w:spacing w:beforeLines="30" w:line="560" w:lineRule="exact"/>
        <w:rPr>
          <w:rFonts w:hint="eastAsia" w:ascii="仿宋_GB2312" w:hAnsi="仿宋_GB2312" w:eastAsia="仿宋_GB2312" w:cs="仿宋_GB2312"/>
          <w:b/>
          <w:smallCaps w:val="0"/>
          <w:sz w:val="32"/>
          <w:szCs w:val="32"/>
          <w:highlight w:val="none"/>
        </w:rPr>
      </w:pPr>
      <w:r>
        <w:rPr>
          <w:rFonts w:hint="eastAsia" w:ascii="仿宋_GB2312" w:hAnsi="仿宋_GB2312" w:eastAsia="仿宋_GB2312" w:cs="仿宋_GB2312"/>
          <w:b/>
          <w:smallCaps w:val="0"/>
          <w:sz w:val="32"/>
          <w:szCs w:val="32"/>
          <w:highlight w:val="none"/>
        </w:rPr>
        <w:t>投标日期：</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年</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月</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日</w:t>
      </w:r>
    </w:p>
    <w:p w14:paraId="34BDE9DE">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5A6C109A">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0CBBB0D7">
      <w:pPr>
        <w:pageBreakBefore w:val="0"/>
        <w:kinsoku/>
        <w:overflowPunct/>
        <w:topLinePunct w:val="0"/>
        <w:autoSpaceDE/>
        <w:autoSpaceDN/>
        <w:bidi w:val="0"/>
        <w:spacing w:line="560" w:lineRule="exact"/>
        <w:jc w:val="center"/>
        <w:rPr>
          <w:rFonts w:hint="eastAsia" w:ascii="Times New Roman" w:hAnsi="Times New Roman" w:eastAsia="仿宋_GB2312" w:cs="仿宋"/>
          <w:b/>
          <w:smallCaps w:val="0"/>
          <w:sz w:val="32"/>
          <w:szCs w:val="32"/>
          <w:highlight w:val="none"/>
        </w:rPr>
      </w:pPr>
      <w:r>
        <w:rPr>
          <w:rFonts w:hint="eastAsia" w:ascii="Times New Roman" w:hAnsi="Times New Roman" w:eastAsia="仿宋_GB2312" w:cs="仿宋"/>
          <w:b/>
          <w:smallCaps w:val="0"/>
          <w:sz w:val="32"/>
          <w:szCs w:val="32"/>
          <w:highlight w:val="none"/>
        </w:rPr>
        <w:t>（20</w:t>
      </w:r>
      <w:r>
        <w:rPr>
          <w:rFonts w:hint="eastAsia" w:ascii="Times New Roman" w:hAnsi="Times New Roman" w:eastAsia="仿宋_GB2312" w:cs="仿宋"/>
          <w:b/>
          <w:smallCaps w:val="0"/>
          <w:sz w:val="32"/>
          <w:szCs w:val="32"/>
          <w:highlight w:val="none"/>
          <w:lang w:val="en-US" w:eastAsia="zh-CN"/>
        </w:rPr>
        <w:t>24</w:t>
      </w:r>
      <w:r>
        <w:rPr>
          <w:rFonts w:hint="eastAsia" w:ascii="Times New Roman" w:hAnsi="Times New Roman" w:eastAsia="仿宋_GB2312" w:cs="仿宋"/>
          <w:b/>
          <w:smallCaps w:val="0"/>
          <w:sz w:val="32"/>
          <w:szCs w:val="32"/>
          <w:highlight w:val="none"/>
        </w:rPr>
        <w:t>年</w:t>
      </w:r>
      <w:r>
        <w:rPr>
          <w:rFonts w:hint="eastAsia" w:ascii="Times New Roman" w:hAnsi="Times New Roman" w:eastAsia="仿宋_GB2312" w:cs="仿宋"/>
          <w:b/>
          <w:smallCaps w:val="0"/>
          <w:sz w:val="32"/>
          <w:szCs w:val="32"/>
          <w:highlight w:val="none"/>
          <w:lang w:val="en-US" w:eastAsia="zh-CN"/>
        </w:rPr>
        <w:t>11</w:t>
      </w:r>
      <w:r>
        <w:rPr>
          <w:rFonts w:hint="eastAsia" w:ascii="Times New Roman" w:hAnsi="Times New Roman" w:eastAsia="仿宋_GB2312" w:cs="仿宋"/>
          <w:b/>
          <w:smallCaps w:val="0"/>
          <w:sz w:val="32"/>
          <w:szCs w:val="32"/>
          <w:highlight w:val="none"/>
        </w:rPr>
        <w:t>月</w:t>
      </w:r>
      <w:r>
        <w:rPr>
          <w:rFonts w:hint="eastAsia" w:ascii="Times New Roman" w:hAnsi="Times New Roman" w:eastAsia="仿宋_GB2312" w:cs="仿宋"/>
          <w:b/>
          <w:smallCaps w:val="0"/>
          <w:sz w:val="32"/>
          <w:szCs w:val="32"/>
          <w:highlight w:val="none"/>
          <w:lang w:val="en-US" w:eastAsia="zh-CN"/>
        </w:rPr>
        <w:t>20</w:t>
      </w:r>
      <w:r>
        <w:rPr>
          <w:rFonts w:hint="eastAsia" w:ascii="Times New Roman" w:hAnsi="Times New Roman" w:eastAsia="仿宋_GB2312" w:cs="仿宋"/>
          <w:b/>
          <w:smallCaps w:val="0"/>
          <w:sz w:val="32"/>
          <w:szCs w:val="32"/>
          <w:highlight w:val="none"/>
        </w:rPr>
        <w:t>日</w:t>
      </w:r>
      <w:r>
        <w:rPr>
          <w:rFonts w:hint="eastAsia" w:ascii="Times New Roman" w:hAnsi="Times New Roman" w:eastAsia="仿宋_GB2312" w:cs="仿宋"/>
          <w:b/>
          <w:smallCaps w:val="0"/>
          <w:sz w:val="32"/>
          <w:szCs w:val="32"/>
          <w:highlight w:val="none"/>
          <w:lang w:val="en-US" w:eastAsia="zh-CN"/>
        </w:rPr>
        <w:t>9</w:t>
      </w:r>
      <w:r>
        <w:rPr>
          <w:rFonts w:hint="eastAsia" w:ascii="Times New Roman" w:hAnsi="Times New Roman" w:eastAsia="仿宋_GB2312" w:cs="仿宋"/>
          <w:b/>
          <w:smallCaps w:val="0"/>
          <w:sz w:val="32"/>
          <w:szCs w:val="32"/>
          <w:highlight w:val="none"/>
        </w:rPr>
        <w:t>时</w:t>
      </w:r>
      <w:r>
        <w:rPr>
          <w:rFonts w:hint="eastAsia" w:ascii="Times New Roman" w:hAnsi="Times New Roman" w:eastAsia="仿宋_GB2312" w:cs="仿宋"/>
          <w:b/>
          <w:smallCaps w:val="0"/>
          <w:sz w:val="32"/>
          <w:szCs w:val="32"/>
          <w:highlight w:val="none"/>
          <w:lang w:val="en-US" w:eastAsia="zh-CN"/>
        </w:rPr>
        <w:t>30</w:t>
      </w:r>
      <w:r>
        <w:rPr>
          <w:rFonts w:hint="eastAsia" w:ascii="Times New Roman" w:hAnsi="Times New Roman" w:eastAsia="仿宋_GB2312" w:cs="仿宋"/>
          <w:b/>
          <w:smallCaps w:val="0"/>
          <w:sz w:val="32"/>
          <w:szCs w:val="32"/>
          <w:highlight w:val="none"/>
        </w:rPr>
        <w:t>分前不得开启）</w:t>
      </w:r>
    </w:p>
    <w:p w14:paraId="70FD89EE">
      <w:pPr>
        <w:pageBreakBefore w:val="0"/>
        <w:kinsoku/>
        <w:overflowPunct/>
        <w:topLinePunct w:val="0"/>
        <w:autoSpaceDE/>
        <w:autoSpaceDN/>
        <w:bidi w:val="0"/>
        <w:spacing w:line="560" w:lineRule="exact"/>
        <w:rPr>
          <w:rFonts w:hint="eastAsia" w:ascii="Times New Roman" w:hAnsi="Times New Roman" w:eastAsia="仿宋" w:cs="仿宋"/>
          <w:b/>
          <w:smallCaps w:val="0"/>
          <w:sz w:val="32"/>
          <w:szCs w:val="32"/>
          <w:highlight w:val="none"/>
        </w:rPr>
      </w:pPr>
    </w:p>
    <w:p w14:paraId="55EF2EF1">
      <w:pPr>
        <w:pStyle w:val="2"/>
        <w:rPr>
          <w:rFonts w:hint="eastAsia" w:ascii="Times New Roman" w:hAnsi="Times New Roman" w:eastAsia="仿宋" w:cs="仿宋"/>
          <w:bCs w:val="0"/>
          <w:smallCaps w:val="0"/>
          <w:sz w:val="21"/>
          <w:szCs w:val="21"/>
          <w:highlight w:val="none"/>
          <w:lang w:val="zh-CN"/>
        </w:rPr>
      </w:pPr>
      <w:bookmarkStart w:id="58" w:name="_Toc23060"/>
    </w:p>
    <w:p w14:paraId="7D8EEF9E">
      <w:pPr>
        <w:rPr>
          <w:rFonts w:hint="eastAsia" w:ascii="Times New Roman" w:hAnsi="Times New Roman" w:eastAsia="仿宋" w:cs="仿宋"/>
          <w:bCs w:val="0"/>
          <w:smallCaps w:val="0"/>
          <w:sz w:val="21"/>
          <w:szCs w:val="21"/>
          <w:highlight w:val="none"/>
          <w:lang w:val="zh-CN"/>
        </w:rPr>
      </w:pPr>
    </w:p>
    <w:p w14:paraId="484DDFEB">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1"/>
          <w:szCs w:val="21"/>
          <w:highlight w:val="none"/>
          <w:lang w:val="zh-CN"/>
        </w:rPr>
      </w:pPr>
    </w:p>
    <w:p w14:paraId="04963BEE">
      <w:pPr>
        <w:rPr>
          <w:rFonts w:hint="eastAsia" w:ascii="Times New Roman" w:hAnsi="Times New Roman"/>
          <w:smallCaps w:val="0"/>
          <w:highlight w:val="none"/>
          <w:lang w:val="zh-CN"/>
        </w:rPr>
      </w:pPr>
    </w:p>
    <w:p w14:paraId="374F7D0C">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1"/>
          <w:szCs w:val="21"/>
          <w:highlight w:val="none"/>
          <w:lang w:val="zh-CN"/>
        </w:rPr>
      </w:pPr>
      <w:bookmarkStart w:id="59" w:name="_Toc17718"/>
      <w:r>
        <w:rPr>
          <w:rFonts w:hint="eastAsia" w:ascii="Times New Roman" w:hAnsi="Times New Roman" w:eastAsia="仿宋" w:cs="仿宋"/>
          <w:bCs w:val="0"/>
          <w:smallCaps w:val="0"/>
          <w:sz w:val="21"/>
          <w:szCs w:val="21"/>
          <w:highlight w:val="none"/>
          <w:lang w:val="zh-CN"/>
        </w:rPr>
        <w:t>格式2：开标一览表</w:t>
      </w:r>
      <w:bookmarkEnd w:id="58"/>
      <w:bookmarkEnd w:id="59"/>
    </w:p>
    <w:p w14:paraId="24F6A8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mallCaps w:val="0"/>
          <w:sz w:val="44"/>
          <w:szCs w:val="44"/>
          <w:highlight w:val="none"/>
        </w:rPr>
      </w:pPr>
      <w:r>
        <w:rPr>
          <w:rFonts w:hint="eastAsia" w:ascii="Times New Roman" w:hAnsi="Times New Roman" w:eastAsia="方正小标宋简体" w:cs="方正小标宋简体"/>
          <w:b w:val="0"/>
          <w:bCs/>
          <w:smallCaps w:val="0"/>
          <w:sz w:val="44"/>
          <w:szCs w:val="44"/>
          <w:highlight w:val="none"/>
        </w:rPr>
        <w:t>开标一览表</w:t>
      </w:r>
    </w:p>
    <w:p w14:paraId="491C2E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b w:val="0"/>
          <w:bCs/>
          <w:smallCaps w:val="0"/>
          <w:sz w:val="22"/>
          <w:szCs w:val="22"/>
          <w:highlight w:val="none"/>
        </w:rPr>
      </w:pPr>
      <w:r>
        <w:rPr>
          <w:rFonts w:hint="eastAsia" w:ascii="Times New Roman" w:hAnsi="Times New Roman" w:eastAsia="仿宋" w:cs="仿宋"/>
          <w:b w:val="0"/>
          <w:bCs/>
          <w:smallCaps w:val="0"/>
          <w:sz w:val="22"/>
          <w:szCs w:val="22"/>
          <w:highlight w:val="none"/>
        </w:rPr>
        <w:t>致：深圳市鹏劳人力资源管理有限公司</w:t>
      </w:r>
    </w:p>
    <w:p w14:paraId="7FC127D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Times New Roman" w:hAnsi="Times New Roman" w:eastAsia="仿宋" w:cs="仿宋"/>
          <w:b w:val="0"/>
          <w:bCs/>
          <w:smallCaps w:val="0"/>
          <w:sz w:val="22"/>
          <w:szCs w:val="22"/>
          <w:highlight w:val="none"/>
        </w:rPr>
      </w:pPr>
      <w:r>
        <w:rPr>
          <w:rFonts w:hint="eastAsia" w:ascii="Times New Roman" w:hAnsi="Times New Roman" w:eastAsia="仿宋" w:cs="仿宋"/>
          <w:b w:val="0"/>
          <w:bCs/>
          <w:smallCaps w:val="0"/>
          <w:sz w:val="22"/>
          <w:szCs w:val="22"/>
          <w:highlight w:val="none"/>
          <w:lang w:val="en-US" w:eastAsia="zh-CN"/>
        </w:rPr>
        <w:t>电脑设备租赁服务</w:t>
      </w:r>
      <w:r>
        <w:rPr>
          <w:rFonts w:hint="eastAsia" w:ascii="Times New Roman" w:hAnsi="Times New Roman" w:eastAsia="仿宋" w:cs="仿宋"/>
          <w:b w:val="0"/>
          <w:bCs/>
          <w:smallCaps w:val="0"/>
          <w:sz w:val="22"/>
          <w:szCs w:val="22"/>
          <w:highlight w:val="none"/>
        </w:rPr>
        <w:t>采购项目（招标编号：PLHR-ZB-FW-202</w:t>
      </w:r>
      <w:r>
        <w:rPr>
          <w:rFonts w:hint="eastAsia" w:ascii="Times New Roman" w:hAnsi="Times New Roman" w:eastAsia="仿宋" w:cs="仿宋"/>
          <w:b w:val="0"/>
          <w:bCs/>
          <w:smallCaps w:val="0"/>
          <w:sz w:val="22"/>
          <w:szCs w:val="22"/>
          <w:highlight w:val="none"/>
          <w:lang w:val="en-US" w:eastAsia="zh-CN"/>
        </w:rPr>
        <w:t>407</w:t>
      </w:r>
      <w:r>
        <w:rPr>
          <w:rFonts w:hint="eastAsia" w:ascii="Times New Roman" w:hAnsi="Times New Roman" w:eastAsia="仿宋" w:cs="仿宋"/>
          <w:b w:val="0"/>
          <w:bCs/>
          <w:smallCaps w:val="0"/>
          <w:sz w:val="22"/>
          <w:szCs w:val="22"/>
          <w:highlight w:val="none"/>
        </w:rPr>
        <w:t>）项目投标报价如下：</w:t>
      </w: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320"/>
        <w:gridCol w:w="1499"/>
        <w:gridCol w:w="1499"/>
        <w:gridCol w:w="1930"/>
        <w:gridCol w:w="953"/>
      </w:tblGrid>
      <w:tr w14:paraId="6CF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58" w:type="dxa"/>
            <w:vAlign w:val="center"/>
          </w:tcPr>
          <w:p w14:paraId="6D635EF8">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配置要求</w:t>
            </w:r>
          </w:p>
        </w:tc>
        <w:tc>
          <w:tcPr>
            <w:tcW w:w="1320" w:type="dxa"/>
            <w:vAlign w:val="center"/>
          </w:tcPr>
          <w:p w14:paraId="3980E4C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品牌型号</w:t>
            </w:r>
          </w:p>
        </w:tc>
        <w:tc>
          <w:tcPr>
            <w:tcW w:w="1499" w:type="dxa"/>
            <w:vAlign w:val="center"/>
          </w:tcPr>
          <w:p w14:paraId="0259F0B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设备成新</w:t>
            </w:r>
          </w:p>
        </w:tc>
        <w:tc>
          <w:tcPr>
            <w:tcW w:w="1499" w:type="dxa"/>
            <w:vAlign w:val="center"/>
          </w:tcPr>
          <w:p w14:paraId="2FB9BB0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租赁费用</w:t>
            </w:r>
          </w:p>
          <w:p w14:paraId="2E19521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（元/台/月）</w:t>
            </w:r>
          </w:p>
        </w:tc>
        <w:tc>
          <w:tcPr>
            <w:tcW w:w="1930" w:type="dxa"/>
            <w:vAlign w:val="center"/>
          </w:tcPr>
          <w:p w14:paraId="241E3F6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预计租赁数量</w:t>
            </w:r>
          </w:p>
          <w:p w14:paraId="4E22A41F">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（台）</w:t>
            </w:r>
          </w:p>
        </w:tc>
        <w:tc>
          <w:tcPr>
            <w:tcW w:w="953" w:type="dxa"/>
            <w:vAlign w:val="center"/>
          </w:tcPr>
          <w:p w14:paraId="145A70FB">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备注</w:t>
            </w:r>
          </w:p>
        </w:tc>
      </w:tr>
      <w:tr w14:paraId="43D1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858" w:type="dxa"/>
            <w:vAlign w:val="center"/>
          </w:tcPr>
          <w:p w14:paraId="71EA8C14">
            <w:pPr>
              <w:pStyle w:val="30"/>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仿宋" w:cs="仿宋"/>
                <w:b w:val="0"/>
                <w:bCs w:val="0"/>
                <w:smallCaps w:val="0"/>
                <w:sz w:val="22"/>
                <w:szCs w:val="22"/>
                <w:highlight w:val="none"/>
                <w:vertAlign w:val="baseline"/>
                <w:lang w:val="en-US" w:eastAsia="zh-CN"/>
              </w:rPr>
              <w:t>不低于i511代CPU、16G内存及512GSSD硬盘</w:t>
            </w:r>
          </w:p>
        </w:tc>
        <w:tc>
          <w:tcPr>
            <w:tcW w:w="1320" w:type="dxa"/>
            <w:vAlign w:val="center"/>
          </w:tcPr>
          <w:p w14:paraId="7AB9E773">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u w:val="none"/>
                <w:vertAlign w:val="baseline"/>
                <w:lang w:val="en-US" w:eastAsia="zh-CN"/>
              </w:rPr>
            </w:pPr>
          </w:p>
        </w:tc>
        <w:tc>
          <w:tcPr>
            <w:tcW w:w="1499" w:type="dxa"/>
            <w:vAlign w:val="center"/>
          </w:tcPr>
          <w:p w14:paraId="720D22B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theme="minorEastAsia"/>
                <w:b w:val="0"/>
                <w:bCs w:val="0"/>
                <w:i w:val="0"/>
                <w:iCs w:val="0"/>
                <w:smallCaps w:val="0"/>
                <w:sz w:val="20"/>
                <w:szCs w:val="20"/>
                <w:highlight w:val="none"/>
                <w:u w:val="none"/>
                <w:vertAlign w:val="baseline"/>
                <w:lang w:val="en-US" w:eastAsia="zh-CN"/>
              </w:rPr>
            </w:pPr>
            <w:r>
              <w:rPr>
                <w:rFonts w:hint="eastAsia" w:ascii="Times New Roman" w:hAnsi="Times New Roman" w:eastAsia="宋体" w:cstheme="minorEastAsia"/>
                <w:b w:val="0"/>
                <w:bCs w:val="0"/>
                <w:i w:val="0"/>
                <w:iCs w:val="0"/>
                <w:smallCaps w:val="0"/>
                <w:sz w:val="20"/>
                <w:szCs w:val="20"/>
                <w:highlight w:val="none"/>
                <w:u w:val="none"/>
                <w:vertAlign w:val="baseline"/>
                <w:lang w:val="en-US" w:eastAsia="zh-CN"/>
              </w:rPr>
              <w:t>全新机</w:t>
            </w:r>
          </w:p>
        </w:tc>
        <w:tc>
          <w:tcPr>
            <w:tcW w:w="1499" w:type="dxa"/>
            <w:vAlign w:val="center"/>
          </w:tcPr>
          <w:p w14:paraId="6176ED05">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val="0"/>
                <w:bCs w:val="0"/>
                <w:smallCaps w:val="0"/>
                <w:sz w:val="20"/>
                <w:szCs w:val="20"/>
                <w:highlight w:val="none"/>
                <w:vertAlign w:val="baseline"/>
                <w:lang w:val="en-US" w:eastAsia="zh-CN"/>
              </w:rPr>
            </w:pPr>
            <w:r>
              <w:rPr>
                <w:rFonts w:hint="eastAsia" w:ascii="Times New Roman" w:hAnsi="Times New Roman" w:eastAsia="宋体" w:cstheme="minorEastAsia"/>
                <w:b w:val="0"/>
                <w:bCs w:val="0"/>
                <w:smallCaps w:val="0"/>
                <w:sz w:val="20"/>
                <w:szCs w:val="20"/>
                <w:highlight w:val="none"/>
                <w:vertAlign w:val="baseline"/>
                <w:lang w:val="en-US" w:eastAsia="zh-CN"/>
              </w:rPr>
              <w:t>含增值税</w:t>
            </w:r>
          </w:p>
          <w:p w14:paraId="2B89C1B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宋体" w:cstheme="minorEastAsia"/>
                <w:b w:val="0"/>
                <w:bCs w:val="0"/>
                <w:i w:val="0"/>
                <w:iCs w:val="0"/>
                <w:smallCaps w:val="0"/>
                <w:sz w:val="20"/>
                <w:szCs w:val="20"/>
                <w:highlight w:val="none"/>
                <w:u w:val="single"/>
                <w:vertAlign w:val="baseline"/>
                <w:lang w:val="en-US" w:eastAsia="zh-CN"/>
              </w:rPr>
              <w:t xml:space="preserve">     </w:t>
            </w:r>
            <w:r>
              <w:rPr>
                <w:rFonts w:hint="eastAsia" w:ascii="Times New Roman" w:hAnsi="Times New Roman" w:eastAsia="宋体" w:cstheme="minorEastAsia"/>
                <w:b w:val="0"/>
                <w:bCs w:val="0"/>
                <w:smallCaps w:val="0"/>
                <w:sz w:val="20"/>
                <w:szCs w:val="20"/>
                <w:highlight w:val="none"/>
                <w:vertAlign w:val="baseline"/>
                <w:lang w:val="en-US" w:eastAsia="zh-CN"/>
              </w:rPr>
              <w:t>元</w:t>
            </w:r>
          </w:p>
        </w:tc>
        <w:tc>
          <w:tcPr>
            <w:tcW w:w="1930" w:type="dxa"/>
            <w:vAlign w:val="center"/>
          </w:tcPr>
          <w:p w14:paraId="169EAE02">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default" w:ascii="Times New Roman" w:hAnsi="Times New Roman" w:eastAsia="宋体" w:cstheme="minorEastAsia"/>
                <w:smallCaps w:val="0"/>
                <w:sz w:val="20"/>
                <w:szCs w:val="20"/>
                <w:highlight w:val="none"/>
                <w:vertAlign w:val="baseline"/>
                <w:lang w:val="en-US" w:eastAsia="zh-CN"/>
              </w:rPr>
            </w:pPr>
            <w:r>
              <w:rPr>
                <w:rFonts w:hint="eastAsia" w:ascii="Times New Roman" w:hAnsi="Times New Roman" w:eastAsia="宋体" w:cstheme="minorEastAsia"/>
                <w:smallCaps w:val="0"/>
                <w:sz w:val="20"/>
                <w:szCs w:val="20"/>
                <w:highlight w:val="none"/>
                <w:vertAlign w:val="baseline"/>
                <w:lang w:val="en-US" w:eastAsia="zh-CN"/>
              </w:rPr>
              <w:t>150</w:t>
            </w:r>
            <w:r>
              <w:rPr>
                <w:rFonts w:hint="eastAsia" w:cstheme="minorEastAsia"/>
                <w:smallCaps w:val="0"/>
                <w:sz w:val="20"/>
                <w:szCs w:val="20"/>
                <w:highlight w:val="none"/>
                <w:vertAlign w:val="baseline"/>
                <w:lang w:val="en-US" w:eastAsia="zh-CN"/>
              </w:rPr>
              <w:t>台</w:t>
            </w:r>
          </w:p>
          <w:p w14:paraId="7EBD42FF">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宋体" w:cstheme="minorEastAsia"/>
                <w:smallCaps w:val="0"/>
                <w:sz w:val="20"/>
                <w:szCs w:val="20"/>
                <w:highlight w:val="none"/>
                <w:vertAlign w:val="baseline"/>
                <w:lang w:val="en-US" w:eastAsia="zh-CN"/>
              </w:rPr>
              <w:t>（截止至2025年底）</w:t>
            </w:r>
          </w:p>
        </w:tc>
        <w:tc>
          <w:tcPr>
            <w:tcW w:w="953" w:type="dxa"/>
            <w:vAlign w:val="center"/>
          </w:tcPr>
          <w:p w14:paraId="1A63629F">
            <w:pPr>
              <w:pStyle w:val="30"/>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p>
        </w:tc>
      </w:tr>
    </w:tbl>
    <w:p w14:paraId="376F26A6">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 xml:space="preserve">说明： </w:t>
      </w:r>
    </w:p>
    <w:p w14:paraId="72E3593D">
      <w:pPr>
        <w:keepNext w:val="0"/>
        <w:keepLines w:val="0"/>
        <w:numPr>
          <w:ilvl w:val="0"/>
          <w:numId w:val="9"/>
        </w:numPr>
        <w:spacing w:line="240" w:lineRule="auto"/>
        <w:ind w:left="0" w:leftChars="0" w:firstLine="420" w:firstLineChars="200"/>
        <w:rPr>
          <w:rFonts w:hint="eastAsia" w:ascii="Times New Roman" w:hAnsi="Times New Roman"/>
          <w:smallCaps w:val="0"/>
          <w:highlight w:val="none"/>
        </w:rPr>
      </w:pPr>
      <w:r>
        <w:rPr>
          <w:rFonts w:hint="eastAsia" w:ascii="Times New Roman" w:hAnsi="Times New Roman" w:eastAsia="仿宋" w:cs="仿宋"/>
          <w:smallCaps w:val="0"/>
          <w:sz w:val="21"/>
          <w:szCs w:val="21"/>
          <w:highlight w:val="none"/>
        </w:rPr>
        <w:t>本表仅作为开标信息一览，实际报价以投标人投标文件中提交的报价表为准，但数据应保持一致，否则应由投标人进行澄清，澄清后价格不可突破投标报价上限，如拒不澄清或澄清后价格突破投标文件中报价上限的，按废标处理；</w:t>
      </w:r>
    </w:p>
    <w:p w14:paraId="200A0480">
      <w:pPr>
        <w:keepNext w:val="0"/>
        <w:keepLines w:val="0"/>
        <w:pageBreakBefore w:val="0"/>
        <w:numPr>
          <w:ilvl w:val="0"/>
          <w:numId w:val="9"/>
        </w:numPr>
        <w:kinsoku/>
        <w:wordWrap/>
        <w:overflowPunct/>
        <w:topLinePunct w:val="0"/>
        <w:autoSpaceDE/>
        <w:autoSpaceDN/>
        <w:bidi w:val="0"/>
        <w:adjustRightInd/>
        <w:snapToGrid/>
        <w:spacing w:line="240" w:lineRule="auto"/>
        <w:ind w:left="0" w:firstLine="420" w:firstLineChars="200"/>
        <w:rPr>
          <w:rFonts w:hint="eastAsia" w:ascii="Times New Roman" w:hAnsi="Times New Roman" w:eastAsia="仿宋" w:cs="仿宋"/>
          <w:smallCaps w:val="0"/>
          <w:sz w:val="21"/>
          <w:szCs w:val="21"/>
          <w:highlight w:val="none"/>
        </w:rPr>
      </w:pPr>
      <w:r>
        <w:rPr>
          <w:rFonts w:hint="eastAsia" w:ascii="Times New Roman" w:hAnsi="Times New Roman" w:eastAsia="仿宋" w:cs="仿宋"/>
          <w:smallCaps w:val="0"/>
          <w:sz w:val="21"/>
          <w:szCs w:val="21"/>
          <w:highlight w:val="none"/>
        </w:rPr>
        <w:t>此表应经法定代表人或授权代表人签名，并加盖投标人单位公章，否则无效，作废标处理。</w:t>
      </w:r>
    </w:p>
    <w:p w14:paraId="0767741E">
      <w:pPr>
        <w:keepNext w:val="0"/>
        <w:keepLines w:val="0"/>
        <w:pageBreakBefore w:val="0"/>
        <w:numPr>
          <w:ilvl w:val="0"/>
          <w:numId w:val="9"/>
        </w:numPr>
        <w:kinsoku/>
        <w:wordWrap/>
        <w:overflowPunct/>
        <w:topLinePunct w:val="0"/>
        <w:autoSpaceDE/>
        <w:autoSpaceDN/>
        <w:bidi w:val="0"/>
        <w:adjustRightInd/>
        <w:snapToGrid/>
        <w:spacing w:line="240" w:lineRule="auto"/>
        <w:ind w:left="0" w:firstLine="420" w:firstLineChars="200"/>
        <w:rPr>
          <w:rFonts w:hint="eastAsia" w:ascii="Times New Roman" w:hAnsi="Times New Roman" w:eastAsia="仿宋" w:cs="仿宋"/>
          <w:smallCaps w:val="0"/>
          <w:sz w:val="21"/>
          <w:szCs w:val="21"/>
          <w:highlight w:val="none"/>
        </w:rPr>
      </w:pPr>
      <w:r>
        <w:rPr>
          <w:rFonts w:hint="eastAsia" w:ascii="Times New Roman" w:hAnsi="Times New Roman" w:eastAsia="仿宋" w:cs="仿宋"/>
          <w:smallCaps w:val="0"/>
          <w:sz w:val="21"/>
          <w:szCs w:val="21"/>
          <w:highlight w:val="none"/>
        </w:rPr>
        <w:t>投标金额大小写不一致的以大写为准。电子文档与纸质文档不一致的以纸质文档为准。正本与副本不一致的以正本为准。总价与计算结果不一致的以分项计算结果为准。</w:t>
      </w:r>
    </w:p>
    <w:p w14:paraId="056AEC0B">
      <w:pPr>
        <w:pStyle w:val="2"/>
        <w:rPr>
          <w:rFonts w:hint="eastAsia" w:ascii="Times New Roman" w:hAnsi="Times New Roman" w:eastAsia="仿宋" w:cs="仿宋"/>
          <w:smallCaps w:val="0"/>
          <w:sz w:val="21"/>
          <w:szCs w:val="21"/>
          <w:highlight w:val="none"/>
        </w:rPr>
      </w:pPr>
    </w:p>
    <w:p w14:paraId="74A7D913">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Times New Roman" w:hAnsi="Times New Roman" w:eastAsia="仿宋" w:cs="仿宋"/>
          <w:b/>
          <w:smallCaps w:val="0"/>
          <w:sz w:val="24"/>
          <w:szCs w:val="24"/>
          <w:highlight w:val="none"/>
        </w:rPr>
      </w:pPr>
    </w:p>
    <w:p w14:paraId="6B943CB8">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投标人（盖章）：</w:t>
      </w:r>
    </w:p>
    <w:p w14:paraId="3E0F7D62">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法定代表人（或授权委托人）签名：</w:t>
      </w:r>
    </w:p>
    <w:p w14:paraId="429D57A5">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sectPr>
          <w:footerReference r:id="rId6" w:type="default"/>
          <w:pgSz w:w="11907" w:h="16840"/>
          <w:pgMar w:top="2098" w:right="1474" w:bottom="1984" w:left="1587" w:header="1417" w:footer="603" w:gutter="0"/>
          <w:pgBorders>
            <w:top w:val="none" w:sz="0" w:space="0"/>
            <w:left w:val="none" w:sz="0" w:space="0"/>
            <w:bottom w:val="none" w:sz="0" w:space="0"/>
            <w:right w:val="none" w:sz="0" w:space="0"/>
          </w:pgBorders>
          <w:pgNumType w:fmt="decimal" w:start="1"/>
          <w:cols w:space="720" w:num="1"/>
          <w:docGrid w:linePitch="462" w:charSpace="0"/>
        </w:sectPr>
      </w:pPr>
      <w:r>
        <w:rPr>
          <w:rFonts w:hint="eastAsia" w:ascii="Times New Roman" w:hAnsi="Times New Roman" w:eastAsia="仿宋" w:cs="仿宋"/>
          <w:b/>
          <w:smallCaps w:val="0"/>
          <w:sz w:val="21"/>
          <w:szCs w:val="21"/>
          <w:highlight w:val="none"/>
        </w:rPr>
        <w:t>日   期：</w:t>
      </w:r>
    </w:p>
    <w:p w14:paraId="0C387674">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lang w:val="en-US"/>
        </w:rPr>
      </w:pPr>
      <w:bookmarkStart w:id="60" w:name="_Toc9895"/>
      <w:bookmarkStart w:id="61" w:name="_Toc3119"/>
      <w:bookmarkStart w:id="62" w:name="_Toc23485"/>
      <w:bookmarkStart w:id="63" w:name="_Toc11257000"/>
      <w:bookmarkStart w:id="64" w:name="_Toc25123_WPSOffice_Level1"/>
      <w:bookmarkStart w:id="65" w:name="_Toc17910755"/>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3</w:t>
      </w:r>
      <w:r>
        <w:rPr>
          <w:rFonts w:hint="eastAsia" w:ascii="Times New Roman" w:hAnsi="Times New Roman" w:eastAsia="仿宋" w:cs="仿宋"/>
          <w:b/>
          <w:bCs w:val="0"/>
          <w:smallCaps w:val="0"/>
          <w:sz w:val="22"/>
          <w:szCs w:val="22"/>
          <w:highlight w:val="none"/>
          <w:lang w:val="zh-CN"/>
        </w:rPr>
        <w:t>:</w:t>
      </w:r>
      <w:r>
        <w:rPr>
          <w:rFonts w:hint="eastAsia" w:ascii="Times New Roman" w:hAnsi="Times New Roman" w:eastAsia="仿宋" w:cs="仿宋"/>
          <w:b/>
          <w:bCs w:val="0"/>
          <w:smallCaps w:val="0"/>
          <w:sz w:val="22"/>
          <w:szCs w:val="22"/>
          <w:highlight w:val="none"/>
          <w:lang w:val="en-US" w:eastAsia="zh-CN"/>
        </w:rPr>
        <w:t>业绩证明</w:t>
      </w:r>
      <w:bookmarkEnd w:id="60"/>
      <w:bookmarkEnd w:id="61"/>
    </w:p>
    <w:p w14:paraId="6440D7DD">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center"/>
        <w:textAlignment w:val="auto"/>
        <w:rPr>
          <w:rFonts w:hint="eastAsia" w:ascii="Times New Roman" w:hAnsi="Times New Roman" w:eastAsiaTheme="minorEastAsia"/>
          <w:b/>
          <w:bCs/>
          <w:smallCaps w:val="0"/>
          <w:color w:val="000000"/>
          <w:sz w:val="36"/>
          <w:szCs w:val="36"/>
          <w:highlight w:val="none"/>
          <w:lang w:val="en-US" w:eastAsia="zh-CN"/>
        </w:rPr>
      </w:pPr>
      <w:r>
        <w:rPr>
          <w:rFonts w:hint="eastAsia" w:ascii="Times New Roman" w:hAnsi="Times New Roman" w:eastAsia="方正小标宋简体" w:cs="方正小标宋简体"/>
          <w:b w:val="0"/>
          <w:bCs w:val="0"/>
          <w:smallCaps w:val="0"/>
          <w:color w:val="000000"/>
          <w:sz w:val="36"/>
          <w:szCs w:val="36"/>
          <w:highlight w:val="none"/>
        </w:rPr>
        <w:t>业绩</w:t>
      </w:r>
      <w:r>
        <w:rPr>
          <w:rFonts w:hint="eastAsia" w:ascii="Times New Roman" w:hAnsi="Times New Roman" w:eastAsia="方正小标宋简体" w:cs="方正小标宋简体"/>
          <w:b w:val="0"/>
          <w:bCs w:val="0"/>
          <w:smallCaps w:val="0"/>
          <w:color w:val="000000"/>
          <w:sz w:val="36"/>
          <w:szCs w:val="36"/>
          <w:highlight w:val="none"/>
          <w:lang w:val="en-US" w:eastAsia="zh-CN"/>
        </w:rPr>
        <w:t>证明</w:t>
      </w:r>
    </w:p>
    <w:p w14:paraId="550847DC">
      <w:pPr>
        <w:keepNext w:val="0"/>
        <w:keepLines w:val="0"/>
        <w:pageBreakBefore w:val="0"/>
        <w:widowControl w:val="0"/>
        <w:kinsoku/>
        <w:wordWrap/>
        <w:overflowPunct/>
        <w:topLinePunct w:val="0"/>
        <w:autoSpaceDE w:val="0"/>
        <w:autoSpaceDN w:val="0"/>
        <w:bidi w:val="0"/>
        <w:adjustRightInd w:val="0"/>
        <w:snapToGrid w:val="0"/>
        <w:spacing w:line="400" w:lineRule="atLeast"/>
        <w:ind w:firstLine="0" w:firstLineChars="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致：</w:t>
      </w:r>
      <w:r>
        <w:rPr>
          <w:rFonts w:hint="eastAsia" w:ascii="Times New Roman" w:hAnsi="Times New Roman"/>
          <w:smallCaps w:val="0"/>
          <w:color w:val="000000"/>
          <w:szCs w:val="21"/>
          <w:highlight w:val="none"/>
          <w:u w:val="single"/>
        </w:rPr>
        <w:t>（招标人）</w:t>
      </w:r>
    </w:p>
    <w:p w14:paraId="180845BF">
      <w:pPr>
        <w:keepNext w:val="0"/>
        <w:keepLines w:val="0"/>
        <w:pageBreakBefore w:val="0"/>
        <w:widowControl w:val="0"/>
        <w:kinsoku/>
        <w:wordWrap/>
        <w:overflowPunct/>
        <w:topLinePunct w:val="0"/>
        <w:autoSpaceDE w:val="0"/>
        <w:autoSpaceDN w:val="0"/>
        <w:bidi w:val="0"/>
        <w:adjustRightInd w:val="0"/>
        <w:snapToGrid w:val="0"/>
        <w:spacing w:line="400" w:lineRule="atLeast"/>
        <w:ind w:firstLine="420"/>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我方根据贵公司招标文件要求提供</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年</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月</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日至投标截止时间真实的业绩资料，证明合同附后，清单如下：</w:t>
      </w:r>
    </w:p>
    <w:p w14:paraId="71F6CCE7">
      <w:pPr>
        <w:widowControl w:val="0"/>
        <w:autoSpaceDE w:val="0"/>
        <w:autoSpaceDN w:val="0"/>
        <w:adjustRightInd w:val="0"/>
        <w:snapToGrid w:val="0"/>
        <w:ind w:firstLine="420"/>
        <w:rPr>
          <w:rFonts w:hint="eastAsia" w:ascii="Times New Roman" w:hAnsi="Times New Roman"/>
          <w:smallCaps w:val="0"/>
          <w:color w:val="000000"/>
          <w:szCs w:val="21"/>
          <w:highlight w:val="none"/>
        </w:rPr>
      </w:pPr>
    </w:p>
    <w:tbl>
      <w:tblPr>
        <w:tblStyle w:val="15"/>
        <w:tblW w:w="40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8"/>
        <w:gridCol w:w="1788"/>
        <w:gridCol w:w="1114"/>
        <w:gridCol w:w="1229"/>
        <w:gridCol w:w="1762"/>
        <w:gridCol w:w="811"/>
      </w:tblGrid>
      <w:tr w14:paraId="7C206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591" w:type="pct"/>
            <w:tcBorders>
              <w:top w:val="single" w:color="auto" w:sz="4" w:space="0"/>
            </w:tcBorders>
            <w:shd w:val="clear" w:color="auto" w:fill="auto"/>
            <w:vAlign w:val="center"/>
          </w:tcPr>
          <w:p w14:paraId="0B06C824">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序号</w:t>
            </w:r>
          </w:p>
        </w:tc>
        <w:tc>
          <w:tcPr>
            <w:tcW w:w="1175" w:type="pct"/>
            <w:shd w:val="clear" w:color="auto" w:fill="auto"/>
            <w:vAlign w:val="center"/>
          </w:tcPr>
          <w:p w14:paraId="17D69B15">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合同</w:t>
            </w:r>
            <w:r>
              <w:rPr>
                <w:rFonts w:hint="eastAsia" w:ascii="Times New Roman" w:hAnsi="Times New Roman"/>
                <w:b/>
                <w:smallCaps w:val="0"/>
                <w:color w:val="000000"/>
                <w:szCs w:val="21"/>
                <w:highlight w:val="none"/>
                <w:lang w:val="en-US" w:eastAsia="zh-CN"/>
              </w:rPr>
              <w:t>项目</w:t>
            </w:r>
            <w:r>
              <w:rPr>
                <w:rFonts w:hint="eastAsia" w:ascii="Times New Roman" w:hAnsi="Times New Roman"/>
                <w:b/>
                <w:smallCaps w:val="0"/>
                <w:color w:val="000000"/>
                <w:szCs w:val="21"/>
                <w:highlight w:val="none"/>
              </w:rPr>
              <w:t>名称</w:t>
            </w:r>
          </w:p>
        </w:tc>
        <w:tc>
          <w:tcPr>
            <w:tcW w:w="732" w:type="pct"/>
            <w:tcBorders>
              <w:right w:val="single" w:color="auto" w:sz="4" w:space="0"/>
            </w:tcBorders>
            <w:shd w:val="clear" w:color="auto" w:fill="auto"/>
            <w:vAlign w:val="center"/>
          </w:tcPr>
          <w:p w14:paraId="39C293F2">
            <w:pPr>
              <w:widowControl w:val="0"/>
              <w:autoSpaceDE w:val="0"/>
              <w:autoSpaceDN w:val="0"/>
              <w:adjustRightInd w:val="0"/>
              <w:snapToGrid w:val="0"/>
              <w:ind w:firstLine="0" w:firstLineChars="0"/>
              <w:jc w:val="center"/>
              <w:rPr>
                <w:rFonts w:hint="default" w:ascii="Times New Roman" w:hAnsi="Times New Roman"/>
                <w:b/>
                <w:smallCaps w:val="0"/>
                <w:color w:val="000000"/>
                <w:szCs w:val="21"/>
                <w:highlight w:val="none"/>
                <w:lang w:val="en-US"/>
              </w:rPr>
            </w:pPr>
            <w:r>
              <w:rPr>
                <w:rFonts w:hint="eastAsia" w:ascii="Times New Roman" w:hAnsi="Times New Roman"/>
                <w:b/>
                <w:smallCaps w:val="0"/>
                <w:color w:val="000000"/>
                <w:szCs w:val="21"/>
                <w:highlight w:val="none"/>
                <w:lang w:val="en-US" w:eastAsia="zh-CN"/>
              </w:rPr>
              <w:t>合同期限</w:t>
            </w:r>
          </w:p>
        </w:tc>
        <w:tc>
          <w:tcPr>
            <w:tcW w:w="808" w:type="pct"/>
            <w:shd w:val="clear" w:color="auto" w:fill="auto"/>
            <w:vAlign w:val="center"/>
          </w:tcPr>
          <w:p w14:paraId="729B3069">
            <w:pPr>
              <w:widowControl w:val="0"/>
              <w:autoSpaceDE w:val="0"/>
              <w:autoSpaceDN w:val="0"/>
              <w:adjustRightInd w:val="0"/>
              <w:snapToGrid w:val="0"/>
              <w:ind w:firstLine="0" w:firstLineChars="0"/>
              <w:jc w:val="center"/>
              <w:rPr>
                <w:rFonts w:hint="eastAsia" w:ascii="Times New Roman" w:hAnsi="Times New Roman"/>
                <w:b/>
                <w:smallCaps w:val="0"/>
                <w:color w:val="000000"/>
                <w:szCs w:val="21"/>
                <w:highlight w:val="none"/>
              </w:rPr>
            </w:pPr>
            <w:r>
              <w:rPr>
                <w:rFonts w:hint="eastAsia" w:ascii="Times New Roman" w:hAnsi="Times New Roman"/>
                <w:b/>
                <w:smallCaps w:val="0"/>
                <w:color w:val="000000"/>
                <w:szCs w:val="21"/>
                <w:highlight w:val="none"/>
              </w:rPr>
              <w:t>合同金额</w:t>
            </w:r>
          </w:p>
        </w:tc>
        <w:tc>
          <w:tcPr>
            <w:tcW w:w="1158" w:type="pct"/>
            <w:shd w:val="clear" w:color="auto" w:fill="auto"/>
            <w:vAlign w:val="center"/>
          </w:tcPr>
          <w:p w14:paraId="7A91B059">
            <w:pPr>
              <w:widowControl w:val="0"/>
              <w:autoSpaceDE w:val="0"/>
              <w:autoSpaceDN w:val="0"/>
              <w:adjustRightInd w:val="0"/>
              <w:snapToGrid w:val="0"/>
              <w:ind w:firstLine="0" w:firstLineChars="0"/>
              <w:jc w:val="center"/>
              <w:rPr>
                <w:rFonts w:hint="default" w:ascii="Times New Roman" w:hAnsi="Times New Roman"/>
                <w:b/>
                <w:smallCaps w:val="0"/>
                <w:color w:val="000000"/>
                <w:szCs w:val="21"/>
                <w:highlight w:val="none"/>
                <w:lang w:val="en-US" w:eastAsia="zh-CN"/>
              </w:rPr>
            </w:pPr>
            <w:r>
              <w:rPr>
                <w:rFonts w:hint="eastAsia" w:ascii="Times New Roman" w:hAnsi="Times New Roman"/>
                <w:b/>
                <w:smallCaps w:val="0"/>
                <w:color w:val="000000"/>
                <w:szCs w:val="21"/>
                <w:highlight w:val="none"/>
                <w:lang w:val="en-US" w:eastAsia="zh-CN"/>
              </w:rPr>
              <w:t>服务项目企业</w:t>
            </w:r>
          </w:p>
          <w:p w14:paraId="21277DBD">
            <w:pPr>
              <w:widowControl w:val="0"/>
              <w:autoSpaceDE w:val="0"/>
              <w:autoSpaceDN w:val="0"/>
              <w:adjustRightInd w:val="0"/>
              <w:snapToGrid w:val="0"/>
              <w:ind w:firstLine="0" w:firstLineChars="0"/>
              <w:jc w:val="center"/>
              <w:rPr>
                <w:rFonts w:hint="default" w:ascii="Times New Roman" w:hAnsi="Times New Roman" w:eastAsiaTheme="minorEastAsia"/>
                <w:b/>
                <w:smallCaps w:val="0"/>
                <w:color w:val="000000"/>
                <w:szCs w:val="21"/>
                <w:highlight w:val="none"/>
                <w:lang w:val="en-US" w:eastAsia="zh-CN"/>
              </w:rPr>
            </w:pPr>
            <w:r>
              <w:rPr>
                <w:rFonts w:hint="eastAsia" w:ascii="Times New Roman" w:hAnsi="Times New Roman"/>
                <w:b/>
                <w:smallCaps w:val="0"/>
                <w:color w:val="000000"/>
                <w:szCs w:val="21"/>
                <w:highlight w:val="none"/>
                <w:lang w:val="en-US" w:eastAsia="zh-CN"/>
              </w:rPr>
              <w:t>所属行业</w:t>
            </w:r>
          </w:p>
        </w:tc>
        <w:tc>
          <w:tcPr>
            <w:tcW w:w="533" w:type="pct"/>
            <w:shd w:val="clear" w:color="auto" w:fill="auto"/>
            <w:vAlign w:val="center"/>
          </w:tcPr>
          <w:p w14:paraId="0B619A49">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详见页码</w:t>
            </w:r>
          </w:p>
        </w:tc>
      </w:tr>
      <w:tr w14:paraId="385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 w:hRule="atLeast"/>
          <w:jc w:val="center"/>
        </w:trPr>
        <w:tc>
          <w:tcPr>
            <w:tcW w:w="591" w:type="pct"/>
            <w:shd w:val="clear" w:color="auto" w:fill="auto"/>
            <w:vAlign w:val="center"/>
          </w:tcPr>
          <w:p w14:paraId="39DBA67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1</w:t>
            </w:r>
          </w:p>
        </w:tc>
        <w:tc>
          <w:tcPr>
            <w:tcW w:w="1175" w:type="pct"/>
            <w:shd w:val="clear" w:color="auto" w:fill="auto"/>
            <w:vAlign w:val="center"/>
          </w:tcPr>
          <w:p w14:paraId="44FE3E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44FB1B7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69F32A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25DD462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0BD65EA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6A2F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591" w:type="pct"/>
            <w:shd w:val="clear" w:color="auto" w:fill="auto"/>
            <w:vAlign w:val="center"/>
          </w:tcPr>
          <w:p w14:paraId="108BB2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2</w:t>
            </w:r>
          </w:p>
        </w:tc>
        <w:tc>
          <w:tcPr>
            <w:tcW w:w="1175" w:type="pct"/>
            <w:shd w:val="clear" w:color="auto" w:fill="auto"/>
            <w:vAlign w:val="center"/>
          </w:tcPr>
          <w:p w14:paraId="2DDC821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9F7542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5B72576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3B2F28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769AAF3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663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6" w:hRule="atLeast"/>
          <w:jc w:val="center"/>
        </w:trPr>
        <w:tc>
          <w:tcPr>
            <w:tcW w:w="591" w:type="pct"/>
            <w:shd w:val="clear" w:color="auto" w:fill="auto"/>
            <w:vAlign w:val="center"/>
          </w:tcPr>
          <w:p w14:paraId="1B4FF30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3</w:t>
            </w:r>
          </w:p>
        </w:tc>
        <w:tc>
          <w:tcPr>
            <w:tcW w:w="1175" w:type="pct"/>
            <w:shd w:val="clear" w:color="auto" w:fill="auto"/>
            <w:vAlign w:val="center"/>
          </w:tcPr>
          <w:p w14:paraId="6B494CB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E8D8F3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2829BF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BBA945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2956C3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15662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 w:hRule="atLeast"/>
          <w:jc w:val="center"/>
        </w:trPr>
        <w:tc>
          <w:tcPr>
            <w:tcW w:w="591" w:type="pct"/>
            <w:shd w:val="clear" w:color="auto" w:fill="auto"/>
            <w:vAlign w:val="center"/>
          </w:tcPr>
          <w:p w14:paraId="7FAF03A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4</w:t>
            </w:r>
          </w:p>
        </w:tc>
        <w:tc>
          <w:tcPr>
            <w:tcW w:w="1175" w:type="pct"/>
            <w:shd w:val="clear" w:color="auto" w:fill="auto"/>
            <w:vAlign w:val="center"/>
          </w:tcPr>
          <w:p w14:paraId="6B66DC4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816EC9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42EF9B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53C8244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073848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3F9B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jc w:val="center"/>
        </w:trPr>
        <w:tc>
          <w:tcPr>
            <w:tcW w:w="591" w:type="pct"/>
            <w:shd w:val="clear" w:color="auto" w:fill="auto"/>
            <w:vAlign w:val="center"/>
          </w:tcPr>
          <w:p w14:paraId="31C8A51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5</w:t>
            </w:r>
          </w:p>
        </w:tc>
        <w:tc>
          <w:tcPr>
            <w:tcW w:w="1175" w:type="pct"/>
            <w:shd w:val="clear" w:color="auto" w:fill="auto"/>
            <w:vAlign w:val="center"/>
          </w:tcPr>
          <w:p w14:paraId="0A78355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BB63F2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889C93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152C32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095C71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DD8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 w:hRule="atLeast"/>
          <w:jc w:val="center"/>
        </w:trPr>
        <w:tc>
          <w:tcPr>
            <w:tcW w:w="591" w:type="pct"/>
            <w:shd w:val="clear" w:color="auto" w:fill="auto"/>
            <w:vAlign w:val="center"/>
          </w:tcPr>
          <w:p w14:paraId="5EEE5D3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6</w:t>
            </w:r>
          </w:p>
        </w:tc>
        <w:tc>
          <w:tcPr>
            <w:tcW w:w="1175" w:type="pct"/>
            <w:shd w:val="clear" w:color="auto" w:fill="auto"/>
            <w:vAlign w:val="center"/>
          </w:tcPr>
          <w:p w14:paraId="2FAB638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5DD395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1E3AFF4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55E6275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6916ECC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F0A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591" w:type="pct"/>
            <w:shd w:val="clear" w:color="auto" w:fill="auto"/>
            <w:vAlign w:val="center"/>
          </w:tcPr>
          <w:p w14:paraId="35F11B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7</w:t>
            </w:r>
          </w:p>
        </w:tc>
        <w:tc>
          <w:tcPr>
            <w:tcW w:w="1175" w:type="pct"/>
            <w:shd w:val="clear" w:color="auto" w:fill="auto"/>
            <w:vAlign w:val="center"/>
          </w:tcPr>
          <w:p w14:paraId="25CA0E4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06A310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DC750D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39C6BE6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78E3214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0A26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jc w:val="center"/>
        </w:trPr>
        <w:tc>
          <w:tcPr>
            <w:tcW w:w="591" w:type="pct"/>
            <w:shd w:val="clear" w:color="auto" w:fill="auto"/>
            <w:vAlign w:val="center"/>
          </w:tcPr>
          <w:p w14:paraId="4D91DD1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8</w:t>
            </w:r>
          </w:p>
        </w:tc>
        <w:tc>
          <w:tcPr>
            <w:tcW w:w="1175" w:type="pct"/>
            <w:shd w:val="clear" w:color="auto" w:fill="auto"/>
            <w:vAlign w:val="center"/>
          </w:tcPr>
          <w:p w14:paraId="0837B73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BCE41E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BBD1DF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20B8358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13A5E4F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B9F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4" w:hRule="atLeast"/>
          <w:jc w:val="center"/>
        </w:trPr>
        <w:tc>
          <w:tcPr>
            <w:tcW w:w="591" w:type="pct"/>
            <w:shd w:val="clear" w:color="auto" w:fill="auto"/>
            <w:vAlign w:val="center"/>
          </w:tcPr>
          <w:p w14:paraId="2331A40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9</w:t>
            </w:r>
          </w:p>
        </w:tc>
        <w:tc>
          <w:tcPr>
            <w:tcW w:w="1175" w:type="pct"/>
            <w:shd w:val="clear" w:color="auto" w:fill="auto"/>
            <w:vAlign w:val="center"/>
          </w:tcPr>
          <w:p w14:paraId="7E29033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FBC21A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B0ECB3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AB7E6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61DFB8B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483D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0" w:hRule="atLeast"/>
          <w:jc w:val="center"/>
        </w:trPr>
        <w:tc>
          <w:tcPr>
            <w:tcW w:w="591" w:type="pct"/>
            <w:shd w:val="clear" w:color="auto" w:fill="auto"/>
            <w:vAlign w:val="center"/>
          </w:tcPr>
          <w:p w14:paraId="5D8BDCB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10</w:t>
            </w:r>
          </w:p>
        </w:tc>
        <w:tc>
          <w:tcPr>
            <w:tcW w:w="1175" w:type="pct"/>
            <w:shd w:val="clear" w:color="auto" w:fill="auto"/>
            <w:vAlign w:val="center"/>
          </w:tcPr>
          <w:p w14:paraId="3550E6C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F947DF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36FAD8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6BBC755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0B1347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2A6E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591" w:type="pct"/>
            <w:shd w:val="clear" w:color="auto" w:fill="auto"/>
            <w:vAlign w:val="center"/>
          </w:tcPr>
          <w:p w14:paraId="73B4AF9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w:t>
            </w:r>
          </w:p>
        </w:tc>
        <w:tc>
          <w:tcPr>
            <w:tcW w:w="1175" w:type="pct"/>
            <w:shd w:val="clear" w:color="auto" w:fill="auto"/>
            <w:vAlign w:val="center"/>
          </w:tcPr>
          <w:p w14:paraId="48531BB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565D78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24499A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0F3E04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441FC7B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p>
        </w:tc>
      </w:tr>
    </w:tbl>
    <w:p w14:paraId="65CEAB77">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重要提示：</w:t>
      </w:r>
    </w:p>
    <w:p w14:paraId="0EC196A0">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1.投标人根据招标文件业绩部分评分标准仔细填写，并填写页码，已供评标</w:t>
      </w:r>
      <w:r>
        <w:rPr>
          <w:rFonts w:hint="eastAsia" w:ascii="Times New Roman" w:hAnsi="Times New Roman"/>
          <w:smallCaps w:val="0"/>
          <w:color w:val="000000"/>
          <w:szCs w:val="21"/>
          <w:highlight w:val="none"/>
          <w:lang w:val="en-US" w:eastAsia="zh-CN"/>
        </w:rPr>
        <w:t>专家</w:t>
      </w:r>
      <w:r>
        <w:rPr>
          <w:rFonts w:hint="eastAsia" w:ascii="Times New Roman" w:hAnsi="Times New Roman"/>
          <w:smallCaps w:val="0"/>
          <w:color w:val="000000"/>
          <w:szCs w:val="21"/>
          <w:highlight w:val="none"/>
        </w:rPr>
        <w:t>查验；</w:t>
      </w:r>
    </w:p>
    <w:p w14:paraId="77B31A1A">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2.上述业绩必须为真实有效，如发现业绩不符，投标人3年内不得参与招标人的其他采购项目，本次投标作废标处理</w:t>
      </w:r>
      <w:r>
        <w:rPr>
          <w:rFonts w:hint="eastAsia" w:ascii="Times New Roman" w:hAnsi="Times New Roman"/>
          <w:smallCaps w:val="0"/>
          <w:color w:val="000000"/>
          <w:szCs w:val="21"/>
          <w:highlight w:val="none"/>
          <w:lang w:eastAsia="zh-CN"/>
        </w:rPr>
        <w:t>。</w:t>
      </w:r>
    </w:p>
    <w:p w14:paraId="1DAC5D77">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highlight w:val="none"/>
        </w:rPr>
        <w:t>3</w:t>
      </w:r>
      <w:r>
        <w:rPr>
          <w:rFonts w:hint="eastAsia" w:ascii="Times New Roman" w:hAnsi="Times New Roman"/>
          <w:smallCaps w:val="0"/>
          <w:color w:val="000000"/>
          <w:szCs w:val="21"/>
          <w:highlight w:val="none"/>
        </w:rPr>
        <w:t>.证明材料附在本表后即可。</w:t>
      </w:r>
    </w:p>
    <w:p w14:paraId="4261B10B">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674F427A">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FB981F3">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9E8422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6384828">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368FB95">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11FA003">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43D3888">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7E5E52A2">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6DF9A16">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E141E7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42D667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B6E436C">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7DD2EA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3F5C790C">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273528A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462474A">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DCE2B8D">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6B938A7E">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2DA6628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en-US" w:eastAsia="zh-CN"/>
        </w:rPr>
      </w:pPr>
      <w:r>
        <w:rPr>
          <w:rFonts w:hint="eastAsia" w:ascii="Times New Roman" w:hAnsi="Times New Roman" w:eastAsia="仿宋" w:cs="仿宋"/>
          <w:b/>
          <w:bCs w:val="0"/>
          <w:smallCaps w:val="0"/>
          <w:sz w:val="21"/>
          <w:szCs w:val="21"/>
          <w:highlight w:val="none"/>
          <w:lang w:val="zh-CN"/>
        </w:rPr>
        <w:t>格式</w:t>
      </w:r>
      <w:r>
        <w:rPr>
          <w:rFonts w:hint="eastAsia" w:ascii="Times New Roman" w:hAnsi="Times New Roman" w:eastAsia="仿宋" w:cs="仿宋"/>
          <w:b/>
          <w:bCs w:val="0"/>
          <w:smallCaps w:val="0"/>
          <w:sz w:val="21"/>
          <w:szCs w:val="21"/>
          <w:highlight w:val="none"/>
          <w:lang w:val="en-US" w:eastAsia="zh-CN"/>
        </w:rPr>
        <w:t>4</w:t>
      </w:r>
      <w:r>
        <w:rPr>
          <w:rFonts w:hint="eastAsia" w:ascii="Times New Roman" w:hAnsi="Times New Roman" w:eastAsia="仿宋" w:cs="仿宋"/>
          <w:b/>
          <w:bCs w:val="0"/>
          <w:smallCaps w:val="0"/>
          <w:sz w:val="21"/>
          <w:szCs w:val="21"/>
          <w:highlight w:val="none"/>
          <w:lang w:val="zh-CN"/>
        </w:rPr>
        <w:t xml:space="preserve">: </w:t>
      </w:r>
      <w:bookmarkStart w:id="66" w:name="_表2：法律顾问服务团队成员名单"/>
      <w:r>
        <w:rPr>
          <w:rFonts w:hint="eastAsia" w:ascii="Times New Roman" w:hAnsi="Times New Roman" w:eastAsia="仿宋" w:cs="仿宋"/>
          <w:b/>
          <w:bCs w:val="0"/>
          <w:smallCaps w:val="0"/>
          <w:sz w:val="21"/>
          <w:szCs w:val="21"/>
          <w:highlight w:val="none"/>
          <w:lang w:val="en-US" w:eastAsia="zh-CN"/>
        </w:rPr>
        <w:t>服务团队成员名单</w:t>
      </w:r>
    </w:p>
    <w:bookmarkEnd w:id="66"/>
    <w:p w14:paraId="67DB85F8">
      <w:pPr>
        <w:pStyle w:val="4"/>
        <w:ind w:left="0" w:leftChars="0" w:firstLine="0" w:firstLineChars="0"/>
        <w:jc w:val="center"/>
        <w:rPr>
          <w:rFonts w:hint="eastAsia" w:ascii="Times New Roman" w:hAnsi="Times New Roman" w:eastAsia="方正小标宋简体" w:cs="方正小标宋简体"/>
          <w:b w:val="0"/>
          <w:bCs/>
          <w:smallCaps w:val="0"/>
          <w:sz w:val="36"/>
          <w:szCs w:val="36"/>
          <w:highlight w:val="none"/>
        </w:rPr>
      </w:pPr>
      <w:bookmarkStart w:id="67" w:name="_Toc20597"/>
      <w:r>
        <w:rPr>
          <w:rFonts w:hint="eastAsia" w:ascii="Times New Roman" w:hAnsi="Times New Roman" w:eastAsia="方正小标宋简体" w:cs="方正小标宋简体"/>
          <w:b w:val="0"/>
          <w:bCs/>
          <w:smallCaps w:val="0"/>
          <w:sz w:val="36"/>
          <w:szCs w:val="36"/>
          <w:highlight w:val="none"/>
          <w:lang w:val="en-US" w:eastAsia="zh-CN"/>
        </w:rPr>
        <w:t>服务团队成员名单</w:t>
      </w:r>
      <w:bookmarkEnd w:id="67"/>
    </w:p>
    <w:tbl>
      <w:tblPr>
        <w:tblStyle w:val="16"/>
        <w:tblW w:w="7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62"/>
        <w:gridCol w:w="1214"/>
        <w:gridCol w:w="1548"/>
        <w:gridCol w:w="1713"/>
        <w:gridCol w:w="1069"/>
      </w:tblGrid>
      <w:tr w14:paraId="1C793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vAlign w:val="center"/>
          </w:tcPr>
          <w:p w14:paraId="0D4374DB">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序号</w:t>
            </w:r>
          </w:p>
        </w:tc>
        <w:tc>
          <w:tcPr>
            <w:tcW w:w="1362" w:type="dxa"/>
            <w:vAlign w:val="center"/>
          </w:tcPr>
          <w:p w14:paraId="6741AB43">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姓名</w:t>
            </w:r>
          </w:p>
        </w:tc>
        <w:tc>
          <w:tcPr>
            <w:tcW w:w="1214" w:type="dxa"/>
            <w:vAlign w:val="center"/>
          </w:tcPr>
          <w:p w14:paraId="02C07A0C">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职务</w:t>
            </w:r>
          </w:p>
        </w:tc>
        <w:tc>
          <w:tcPr>
            <w:tcW w:w="1548" w:type="dxa"/>
            <w:vAlign w:val="center"/>
          </w:tcPr>
          <w:p w14:paraId="520B6555">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入职时间</w:t>
            </w:r>
          </w:p>
        </w:tc>
        <w:tc>
          <w:tcPr>
            <w:tcW w:w="1713" w:type="dxa"/>
            <w:vAlign w:val="center"/>
          </w:tcPr>
          <w:p w14:paraId="64F3302C">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default" w:ascii="Times New Roman" w:hAnsi="Times New Roman" w:eastAsia="宋体" w:cs="仿宋"/>
                <w:b/>
                <w:smallCaps w:val="0"/>
                <w:sz w:val="21"/>
                <w:szCs w:val="21"/>
                <w:highlight w:val="none"/>
                <w:vertAlign w:val="baseline"/>
                <w:lang w:val="en-US" w:eastAsia="zh-CN"/>
              </w:rPr>
              <w:t>负责本项的岗位名称及岗位职责</w:t>
            </w:r>
          </w:p>
        </w:tc>
        <w:tc>
          <w:tcPr>
            <w:tcW w:w="1069" w:type="dxa"/>
            <w:vAlign w:val="center"/>
          </w:tcPr>
          <w:p w14:paraId="10998117">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备注</w:t>
            </w:r>
          </w:p>
        </w:tc>
      </w:tr>
      <w:tr w14:paraId="33364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39010718">
            <w:pPr>
              <w:spacing w:line="240" w:lineRule="auto"/>
              <w:jc w:val="center"/>
              <w:rPr>
                <w:rFonts w:hint="eastAsia" w:ascii="Times New Roman" w:hAnsi="Times New Roman" w:eastAsia="宋体" w:cs="仿宋"/>
                <w:b w:val="0"/>
                <w:bCs w:val="0"/>
                <w:smallCaps w:val="0"/>
                <w:szCs w:val="21"/>
                <w:highlight w:val="none"/>
                <w:lang w:val="en-US" w:eastAsia="zh-CN"/>
              </w:rPr>
            </w:pPr>
            <w:r>
              <w:rPr>
                <w:rFonts w:hint="eastAsia" w:ascii="Times New Roman" w:hAnsi="Times New Roman" w:eastAsia="宋体" w:cs="仿宋"/>
                <w:b w:val="0"/>
                <w:bCs w:val="0"/>
                <w:smallCaps w:val="0"/>
                <w:szCs w:val="21"/>
                <w:highlight w:val="none"/>
                <w:lang w:val="en-US" w:eastAsia="zh-CN"/>
              </w:rPr>
              <w:t>1</w:t>
            </w:r>
          </w:p>
        </w:tc>
        <w:tc>
          <w:tcPr>
            <w:tcW w:w="1362" w:type="dxa"/>
            <w:vAlign w:val="center"/>
          </w:tcPr>
          <w:p w14:paraId="47E5648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533AC56D">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2B56CCD9">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49CF89EC">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58636FEA">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7B87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4FB9EC96">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2</w:t>
            </w:r>
          </w:p>
        </w:tc>
        <w:tc>
          <w:tcPr>
            <w:tcW w:w="1362" w:type="dxa"/>
            <w:vAlign w:val="center"/>
          </w:tcPr>
          <w:p w14:paraId="1DF649CE">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14215ED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173A010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39CA8C5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56D13F7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431AA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7554023C">
            <w:pPr>
              <w:spacing w:line="240" w:lineRule="auto"/>
              <w:jc w:val="center"/>
              <w:rPr>
                <w:rFonts w:hint="eastAsia" w:ascii="Times New Roman" w:hAnsi="Times New Roman" w:eastAsia="宋体" w:cs="仿宋"/>
                <w:b w:val="0"/>
                <w:bCs w:val="0"/>
                <w:smallCaps w:val="0"/>
                <w:highlight w:val="none"/>
                <w:lang w:val="en-US" w:eastAsia="zh-CN"/>
              </w:rPr>
            </w:pPr>
            <w:r>
              <w:rPr>
                <w:rFonts w:hint="eastAsia" w:ascii="Times New Roman" w:hAnsi="Times New Roman" w:eastAsia="宋体" w:cs="仿宋"/>
                <w:b w:val="0"/>
                <w:bCs w:val="0"/>
                <w:smallCaps w:val="0"/>
                <w:highlight w:val="none"/>
                <w:lang w:val="en-US" w:eastAsia="zh-CN"/>
              </w:rPr>
              <w:t>3</w:t>
            </w:r>
          </w:p>
        </w:tc>
        <w:tc>
          <w:tcPr>
            <w:tcW w:w="1362" w:type="dxa"/>
            <w:vAlign w:val="center"/>
          </w:tcPr>
          <w:p w14:paraId="6F96DBFB">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094937D6">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47205C6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3A46E026">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2C454079">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5DF65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24DCE1EB">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4</w:t>
            </w:r>
          </w:p>
        </w:tc>
        <w:tc>
          <w:tcPr>
            <w:tcW w:w="1362" w:type="dxa"/>
            <w:vAlign w:val="center"/>
          </w:tcPr>
          <w:p w14:paraId="0200D221">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6F208D9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70A00543">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10A67E47">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19B2907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2EA2D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13523AB0">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w:t>
            </w:r>
          </w:p>
        </w:tc>
        <w:tc>
          <w:tcPr>
            <w:tcW w:w="1362" w:type="dxa"/>
            <w:vAlign w:val="center"/>
          </w:tcPr>
          <w:p w14:paraId="3AF27511">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68A50AF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287900F2">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587B51ED">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13891D8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5C8F1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1" w:type="dxa"/>
            <w:vAlign w:val="center"/>
          </w:tcPr>
          <w:p w14:paraId="5991A7D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p>
        </w:tc>
        <w:tc>
          <w:tcPr>
            <w:tcW w:w="1362" w:type="dxa"/>
            <w:vAlign w:val="center"/>
          </w:tcPr>
          <w:p w14:paraId="55F3911E">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383AA768">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009C35B2">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0F147C2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7C609C6C">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bl>
    <w:p w14:paraId="66DF852D">
      <w:pPr>
        <w:pageBreakBefore w:val="0"/>
        <w:kinsoku/>
        <w:overflowPunct/>
        <w:topLinePunct w:val="0"/>
        <w:autoSpaceDE/>
        <w:autoSpaceDN/>
        <w:bidi w:val="0"/>
        <w:spacing w:line="240" w:lineRule="auto"/>
        <w:rPr>
          <w:rFonts w:hint="default" w:ascii="Times New Roman" w:hAnsi="Times New Roman" w:eastAsia="仿宋" w:cs="仿宋"/>
          <w:b/>
          <w:smallCaps w:val="0"/>
          <w:sz w:val="32"/>
          <w:szCs w:val="32"/>
          <w:highlight w:val="none"/>
          <w:lang w:val="en-US" w:eastAsia="zh-CN"/>
        </w:rPr>
      </w:pPr>
      <w:r>
        <w:rPr>
          <w:rFonts w:hint="eastAsia" w:ascii="Times New Roman" w:hAnsi="Times New Roman" w:eastAsia="仿宋" w:cs="仿宋"/>
          <w:b/>
          <w:smallCaps w:val="0"/>
          <w:sz w:val="32"/>
          <w:szCs w:val="32"/>
          <w:highlight w:val="none"/>
          <w:lang w:val="en-US" w:eastAsia="zh-CN"/>
        </w:rPr>
        <w:t xml:space="preserve">   </w:t>
      </w:r>
    </w:p>
    <w:p w14:paraId="475198D5">
      <w:pPr>
        <w:pStyle w:val="2"/>
        <w:spacing w:line="240" w:lineRule="auto"/>
        <w:ind w:firstLine="482" w:firstLineChars="200"/>
        <w:rPr>
          <w:rFonts w:hint="eastAsia" w:ascii="Times New Roman" w:hAnsi="Times New Roman" w:eastAsia="仿宋" w:cs="仿宋"/>
          <w:b/>
          <w:smallCaps w:val="0"/>
          <w:sz w:val="24"/>
          <w:szCs w:val="24"/>
          <w:highlight w:val="none"/>
          <w:lang w:val="en-US" w:eastAsia="zh-CN"/>
        </w:rPr>
      </w:pPr>
      <w:bookmarkStart w:id="68" w:name="_Toc17880"/>
      <w:bookmarkStart w:id="69" w:name="_Toc16696"/>
      <w:bookmarkStart w:id="70" w:name="_Toc12763"/>
      <w:r>
        <w:rPr>
          <w:rFonts w:hint="eastAsia" w:ascii="Times New Roman" w:hAnsi="Times New Roman" w:eastAsia="仿宋" w:cs="仿宋"/>
          <w:b/>
          <w:smallCaps w:val="0"/>
          <w:sz w:val="24"/>
          <w:szCs w:val="24"/>
          <w:highlight w:val="none"/>
          <w:lang w:val="en-US" w:eastAsia="zh-CN"/>
        </w:rPr>
        <w:t>说明：</w:t>
      </w:r>
      <w:bookmarkEnd w:id="68"/>
      <w:bookmarkEnd w:id="69"/>
      <w:bookmarkEnd w:id="70"/>
    </w:p>
    <w:p w14:paraId="56B306C8">
      <w:pPr>
        <w:numPr>
          <w:ilvl w:val="0"/>
          <w:numId w:val="10"/>
        </w:numPr>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本表内职务应按在服务团队中所承担的角色清晰填列，其中，应明确项目负责人1名，售后负责人1名，团队其他成员按照实际职务填列；</w:t>
      </w:r>
    </w:p>
    <w:p w14:paraId="1015FA4B">
      <w:pPr>
        <w:numPr>
          <w:ilvl w:val="0"/>
          <w:numId w:val="10"/>
        </w:numPr>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投标人同时应提交与本表信息、顺序严格一致、且加盖公章的服务团队成员合同关键页；</w:t>
      </w:r>
    </w:p>
    <w:p w14:paraId="1A8442C9">
      <w:pPr>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投标人认为有必要提交的其他服务团队成员资质及信息应清晰列示于备注栏并提供相应资质、证明文件；</w:t>
      </w:r>
    </w:p>
    <w:p w14:paraId="60ED933D">
      <w:pPr>
        <w:pStyle w:val="2"/>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bookmarkStart w:id="71" w:name="_Toc21932"/>
      <w:bookmarkStart w:id="72" w:name="_Toc5587"/>
      <w:bookmarkStart w:id="73" w:name="_Toc21900"/>
      <w:r>
        <w:rPr>
          <w:rFonts w:hint="eastAsia" w:ascii="仿宋_GB2312" w:hAnsi="仿宋_GB2312" w:eastAsia="仿宋_GB2312" w:cs="仿宋_GB2312"/>
          <w:b w:val="0"/>
          <w:bCs/>
          <w:smallCaps w:val="0"/>
          <w:sz w:val="21"/>
          <w:szCs w:val="21"/>
          <w:highlight w:val="none"/>
          <w:lang w:val="en-US" w:eastAsia="zh-CN"/>
        </w:rPr>
        <w:t>本表经法定代表人或授权代表人签名，与全部随附文件均应加盖投标人单位公章；</w:t>
      </w:r>
      <w:bookmarkEnd w:id="71"/>
      <w:bookmarkEnd w:id="72"/>
      <w:bookmarkEnd w:id="73"/>
    </w:p>
    <w:p w14:paraId="2BDCEF51">
      <w:pPr>
        <w:pStyle w:val="2"/>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bookmarkStart w:id="74" w:name="_Toc7230"/>
      <w:bookmarkStart w:id="75" w:name="_Toc2792"/>
      <w:bookmarkStart w:id="76" w:name="_Toc9434"/>
      <w:r>
        <w:rPr>
          <w:rFonts w:hint="eastAsia" w:ascii="仿宋_GB2312" w:hAnsi="仿宋_GB2312" w:eastAsia="仿宋_GB2312" w:cs="仿宋_GB2312"/>
          <w:b w:val="0"/>
          <w:bCs/>
          <w:smallCaps w:val="0"/>
          <w:sz w:val="21"/>
          <w:szCs w:val="21"/>
          <w:highlight w:val="none"/>
          <w:lang w:val="en-US" w:eastAsia="zh-CN"/>
        </w:rPr>
        <w:t>如未按以上要求提交本表的，招标人有权根据具体情况决定废标或提出现场澄清要求，如招标人提出澄清要求后，投标人提供信息仍然有误的，予以废标。</w:t>
      </w:r>
      <w:bookmarkEnd w:id="74"/>
      <w:bookmarkEnd w:id="75"/>
      <w:bookmarkEnd w:id="76"/>
    </w:p>
    <w:p w14:paraId="5FEA1D85">
      <w:pPr>
        <w:pStyle w:val="2"/>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 xml:space="preserve">    </w:t>
      </w:r>
    </w:p>
    <w:p w14:paraId="6A1014D0">
      <w:pPr>
        <w:rPr>
          <w:rFonts w:hint="eastAsia" w:ascii="Times New Roman" w:hAnsi="Times New Roman" w:eastAsia="仿宋" w:cs="仿宋"/>
          <w:b w:val="0"/>
          <w:bCs/>
          <w:smallCaps w:val="0"/>
          <w:sz w:val="21"/>
          <w:szCs w:val="21"/>
          <w:highlight w:val="none"/>
          <w:lang w:val="en-US" w:eastAsia="zh-CN"/>
        </w:rPr>
      </w:pPr>
    </w:p>
    <w:p w14:paraId="55467F98">
      <w:pPr>
        <w:pStyle w:val="2"/>
        <w:rPr>
          <w:rFonts w:hint="eastAsia" w:ascii="Times New Roman" w:hAnsi="Times New Roman" w:eastAsia="仿宋" w:cs="仿宋"/>
          <w:b w:val="0"/>
          <w:bCs/>
          <w:smallCaps w:val="0"/>
          <w:sz w:val="21"/>
          <w:szCs w:val="21"/>
          <w:highlight w:val="none"/>
          <w:lang w:val="en-US" w:eastAsia="zh-CN"/>
        </w:rPr>
      </w:pPr>
    </w:p>
    <w:p w14:paraId="60BEAC05">
      <w:pPr>
        <w:rPr>
          <w:rFonts w:hint="eastAsia" w:ascii="Times New Roman" w:hAnsi="Times New Roman" w:eastAsia="仿宋" w:cs="仿宋"/>
          <w:b w:val="0"/>
          <w:bCs/>
          <w:smallCaps w:val="0"/>
          <w:sz w:val="21"/>
          <w:szCs w:val="21"/>
          <w:highlight w:val="none"/>
          <w:lang w:val="en-US" w:eastAsia="zh-CN"/>
        </w:rPr>
      </w:pPr>
    </w:p>
    <w:p w14:paraId="37BC340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BC24529">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6759BBAC">
      <w:pPr>
        <w:pStyle w:val="2"/>
        <w:rPr>
          <w:rFonts w:hint="default" w:ascii="Times New Roman" w:hAnsi="Times New Roman"/>
          <w:smallCaps w:val="0"/>
          <w:highlight w:val="none"/>
          <w:lang w:val="en-US" w:eastAsia="zh-CN"/>
        </w:rPr>
      </w:pPr>
      <w:bookmarkStart w:id="77" w:name="_Toc7551"/>
      <w:bookmarkStart w:id="78" w:name="_Toc15640"/>
      <w:bookmarkStart w:id="79" w:name="_Toc3934"/>
      <w:r>
        <w:rPr>
          <w:rFonts w:hint="eastAsia" w:ascii="Times New Roman" w:hAnsi="Times New Roman" w:eastAsia="仿宋" w:cs="仿宋"/>
          <w:b/>
          <w:smallCaps w:val="0"/>
          <w:kern w:val="0"/>
          <w:sz w:val="21"/>
          <w:szCs w:val="21"/>
          <w:highlight w:val="none"/>
        </w:rPr>
        <w:t>日期：</w:t>
      </w:r>
      <w:bookmarkEnd w:id="77"/>
      <w:bookmarkEnd w:id="78"/>
      <w:bookmarkEnd w:id="79"/>
    </w:p>
    <w:p w14:paraId="23A475B8">
      <w:pPr>
        <w:rPr>
          <w:rFonts w:hint="eastAsia" w:ascii="Times New Roman" w:hAnsi="Times New Roman" w:eastAsia="仿宋" w:cs="仿宋"/>
          <w:b/>
          <w:smallCaps w:val="0"/>
          <w:sz w:val="21"/>
          <w:szCs w:val="21"/>
          <w:highlight w:val="none"/>
        </w:rPr>
      </w:pPr>
    </w:p>
    <w:p w14:paraId="30BEE018">
      <w:pPr>
        <w:pStyle w:val="2"/>
        <w:spacing w:line="240" w:lineRule="auto"/>
        <w:rPr>
          <w:rFonts w:hint="eastAsia" w:ascii="Times New Roman" w:hAnsi="Times New Roman" w:eastAsia="仿宋" w:cs="仿宋"/>
          <w:b/>
          <w:smallCaps w:val="0"/>
          <w:sz w:val="21"/>
          <w:szCs w:val="21"/>
          <w:highlight w:val="none"/>
        </w:rPr>
      </w:pPr>
    </w:p>
    <w:p w14:paraId="40F1D8BA">
      <w:pPr>
        <w:rPr>
          <w:rFonts w:hint="eastAsia" w:ascii="Times New Roman" w:hAnsi="Times New Roman" w:eastAsia="仿宋" w:cs="仿宋"/>
          <w:b/>
          <w:smallCaps w:val="0"/>
          <w:sz w:val="21"/>
          <w:szCs w:val="21"/>
          <w:highlight w:val="none"/>
        </w:rPr>
      </w:pPr>
    </w:p>
    <w:p w14:paraId="0138BBA4">
      <w:pPr>
        <w:pStyle w:val="2"/>
        <w:spacing w:line="240" w:lineRule="auto"/>
        <w:rPr>
          <w:rFonts w:hint="eastAsia" w:ascii="Times New Roman" w:hAnsi="Times New Roman" w:eastAsia="仿宋" w:cs="仿宋"/>
          <w:b/>
          <w:smallCaps w:val="0"/>
          <w:sz w:val="21"/>
          <w:szCs w:val="21"/>
          <w:highlight w:val="none"/>
        </w:rPr>
      </w:pPr>
    </w:p>
    <w:p w14:paraId="55B35953">
      <w:pPr>
        <w:rPr>
          <w:rFonts w:hint="eastAsia" w:ascii="Times New Roman" w:hAnsi="Times New Roman" w:eastAsia="仿宋" w:cs="仿宋"/>
          <w:b/>
          <w:smallCaps w:val="0"/>
          <w:sz w:val="21"/>
          <w:szCs w:val="21"/>
          <w:highlight w:val="none"/>
        </w:rPr>
      </w:pPr>
    </w:p>
    <w:p w14:paraId="09AFA7FD">
      <w:pPr>
        <w:rPr>
          <w:rFonts w:hint="eastAsia" w:ascii="Times New Roman" w:hAnsi="Times New Roman" w:eastAsia="仿宋" w:cs="仿宋"/>
          <w:b/>
          <w:smallCaps w:val="0"/>
          <w:sz w:val="21"/>
          <w:szCs w:val="21"/>
          <w:highlight w:val="none"/>
        </w:rPr>
      </w:pPr>
    </w:p>
    <w:p w14:paraId="6DB98B70">
      <w:pPr>
        <w:rPr>
          <w:rFonts w:hint="eastAsia" w:ascii="Times New Roman" w:hAnsi="Times New Roman" w:eastAsia="仿宋" w:cs="仿宋"/>
          <w:b/>
          <w:smallCaps w:val="0"/>
          <w:sz w:val="21"/>
          <w:szCs w:val="21"/>
          <w:highlight w:val="none"/>
        </w:rPr>
      </w:pPr>
    </w:p>
    <w:p w14:paraId="0EDD619D">
      <w:pPr>
        <w:rPr>
          <w:rFonts w:hint="eastAsia" w:ascii="Times New Roman" w:hAnsi="Times New Roman" w:eastAsia="仿宋" w:cs="仿宋"/>
          <w:b/>
          <w:smallCaps w:val="0"/>
          <w:sz w:val="21"/>
          <w:szCs w:val="21"/>
          <w:highlight w:val="none"/>
        </w:rPr>
      </w:pPr>
    </w:p>
    <w:p w14:paraId="2906F4E6">
      <w:pPr>
        <w:rPr>
          <w:rFonts w:hint="eastAsia" w:ascii="Times New Roman" w:hAnsi="Times New Roman" w:eastAsia="仿宋" w:cs="仿宋"/>
          <w:b/>
          <w:smallCaps w:val="0"/>
          <w:sz w:val="21"/>
          <w:szCs w:val="21"/>
          <w:highlight w:val="none"/>
        </w:rPr>
      </w:pPr>
    </w:p>
    <w:p w14:paraId="63F0CBDB">
      <w:pPr>
        <w:rPr>
          <w:rFonts w:hint="eastAsia" w:ascii="Times New Roman" w:hAnsi="Times New Roman" w:eastAsia="仿宋" w:cs="仿宋"/>
          <w:b/>
          <w:smallCaps w:val="0"/>
          <w:sz w:val="21"/>
          <w:szCs w:val="21"/>
          <w:highlight w:val="none"/>
        </w:rPr>
      </w:pPr>
    </w:p>
    <w:p w14:paraId="4C2A45F7">
      <w:pPr>
        <w:rPr>
          <w:rFonts w:hint="eastAsia" w:ascii="Times New Roman" w:hAnsi="Times New Roman" w:eastAsia="仿宋" w:cs="仿宋"/>
          <w:b/>
          <w:smallCaps w:val="0"/>
          <w:sz w:val="21"/>
          <w:szCs w:val="21"/>
          <w:highlight w:val="none"/>
        </w:rPr>
      </w:pPr>
    </w:p>
    <w:p w14:paraId="4F0EA5BE">
      <w:pPr>
        <w:rPr>
          <w:rFonts w:hint="eastAsia" w:ascii="Times New Roman" w:hAnsi="Times New Roman" w:eastAsia="仿宋" w:cs="仿宋"/>
          <w:b/>
          <w:smallCaps w:val="0"/>
          <w:sz w:val="21"/>
          <w:szCs w:val="21"/>
          <w:highlight w:val="none"/>
        </w:rPr>
      </w:pPr>
    </w:p>
    <w:bookmarkEnd w:id="62"/>
    <w:bookmarkEnd w:id="63"/>
    <w:bookmarkEnd w:id="64"/>
    <w:bookmarkEnd w:id="65"/>
    <w:p w14:paraId="44BBA6B7">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rPr>
      </w:pPr>
      <w:bookmarkStart w:id="80" w:name="_Toc32462"/>
      <w:bookmarkStart w:id="81" w:name="_Toc28635"/>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5</w:t>
      </w:r>
      <w:r>
        <w:rPr>
          <w:rFonts w:hint="eastAsia" w:ascii="Times New Roman" w:hAnsi="Times New Roman" w:eastAsia="仿宋" w:cs="仿宋"/>
          <w:b/>
          <w:bCs w:val="0"/>
          <w:smallCaps w:val="0"/>
          <w:sz w:val="22"/>
          <w:szCs w:val="22"/>
          <w:highlight w:val="none"/>
        </w:rPr>
        <w:t>：</w:t>
      </w:r>
      <w:bookmarkEnd w:id="80"/>
      <w:r>
        <w:rPr>
          <w:rFonts w:hint="eastAsia" w:ascii="Times New Roman" w:hAnsi="Times New Roman" w:eastAsia="仿宋" w:cs="仿宋"/>
          <w:b/>
          <w:bCs w:val="0"/>
          <w:smallCaps w:val="0"/>
          <w:sz w:val="22"/>
          <w:szCs w:val="22"/>
          <w:highlight w:val="none"/>
          <w:lang w:val="en-US" w:eastAsia="zh-CN"/>
        </w:rPr>
        <w:t>招标文件响应</w:t>
      </w:r>
      <w:r>
        <w:rPr>
          <w:rFonts w:hint="eastAsia" w:ascii="Times New Roman" w:hAnsi="Times New Roman" w:eastAsia="仿宋" w:cs="仿宋"/>
          <w:b/>
          <w:bCs w:val="0"/>
          <w:smallCaps w:val="0"/>
          <w:sz w:val="22"/>
          <w:szCs w:val="22"/>
          <w:highlight w:val="none"/>
        </w:rPr>
        <w:t>情况</w:t>
      </w:r>
      <w:r>
        <w:rPr>
          <w:rFonts w:hint="eastAsia" w:ascii="Times New Roman" w:hAnsi="Times New Roman" w:eastAsia="仿宋" w:cs="仿宋"/>
          <w:b/>
          <w:bCs w:val="0"/>
          <w:smallCaps w:val="0"/>
          <w:sz w:val="22"/>
          <w:szCs w:val="22"/>
          <w:highlight w:val="none"/>
          <w:lang w:val="en-US" w:eastAsia="zh-CN"/>
        </w:rPr>
        <w:t>偏离表</w:t>
      </w:r>
      <w:bookmarkEnd w:id="81"/>
    </w:p>
    <w:p w14:paraId="10BFD498">
      <w:pPr>
        <w:pageBreakBefore w:val="0"/>
        <w:widowControl w:val="0"/>
        <w:kinsoku/>
        <w:wordWrap/>
        <w:overflowPunct/>
        <w:topLinePunct w:val="0"/>
        <w:autoSpaceDE/>
        <w:autoSpaceDN/>
        <w:bidi w:val="0"/>
        <w:adjustRightInd/>
        <w:snapToGrid/>
        <w:spacing w:after="120" w:line="240" w:lineRule="auto"/>
        <w:jc w:val="center"/>
        <w:textAlignment w:val="auto"/>
        <w:rPr>
          <w:rFonts w:hint="eastAsia" w:ascii="Times New Roman" w:hAnsi="Times New Roman" w:eastAsia="方正小标宋简体" w:cs="方正小标宋简体"/>
          <w:b w:val="0"/>
          <w:bCs/>
          <w:smallCaps w:val="0"/>
          <w:sz w:val="32"/>
          <w:szCs w:val="32"/>
          <w:highlight w:val="none"/>
          <w:lang w:val="en-US" w:eastAsia="zh-CN"/>
        </w:rPr>
      </w:pPr>
      <w:r>
        <w:rPr>
          <w:rFonts w:hint="eastAsia" w:ascii="Times New Roman" w:hAnsi="Times New Roman" w:eastAsia="方正小标宋简体" w:cs="方正小标宋简体"/>
          <w:b w:val="0"/>
          <w:bCs/>
          <w:smallCaps w:val="0"/>
          <w:sz w:val="32"/>
          <w:szCs w:val="32"/>
          <w:highlight w:val="none"/>
          <w:lang w:val="en-US" w:eastAsia="zh-CN"/>
        </w:rPr>
        <w:t>招标文件</w:t>
      </w:r>
      <w:r>
        <w:rPr>
          <w:rFonts w:hint="eastAsia" w:ascii="Times New Roman" w:hAnsi="Times New Roman" w:eastAsia="方正小标宋简体" w:cs="方正小标宋简体"/>
          <w:b w:val="0"/>
          <w:bCs/>
          <w:smallCaps w:val="0"/>
          <w:sz w:val="32"/>
          <w:szCs w:val="32"/>
          <w:highlight w:val="none"/>
          <w:lang w:val="zh-CN"/>
        </w:rPr>
        <w:t>响应情况</w:t>
      </w:r>
      <w:r>
        <w:rPr>
          <w:rFonts w:hint="eastAsia" w:ascii="Times New Roman" w:hAnsi="Times New Roman" w:eastAsia="方正小标宋简体" w:cs="方正小标宋简体"/>
          <w:b w:val="0"/>
          <w:bCs/>
          <w:smallCaps w:val="0"/>
          <w:sz w:val="32"/>
          <w:szCs w:val="32"/>
          <w:highlight w:val="none"/>
          <w:lang w:val="en-US" w:eastAsia="zh-CN"/>
        </w:rPr>
        <w:t>偏离表</w:t>
      </w:r>
    </w:p>
    <w:p w14:paraId="62D60452">
      <w:pPr>
        <w:pStyle w:val="2"/>
        <w:spacing w:line="240" w:lineRule="auto"/>
        <w:rPr>
          <w:rFonts w:hint="eastAsia" w:ascii="Times New Roman" w:hAnsi="Times New Roman" w:eastAsia="仿宋" w:cs="仿宋"/>
          <w:b w:val="0"/>
          <w:bCs/>
          <w:smallCaps w:val="0"/>
          <w:sz w:val="20"/>
          <w:szCs w:val="10"/>
          <w:highlight w:val="none"/>
          <w:lang w:val="zh-CN"/>
        </w:rPr>
      </w:pPr>
    </w:p>
    <w:p w14:paraId="44BBBFFE">
      <w:pPr>
        <w:pStyle w:val="2"/>
        <w:spacing w:line="240" w:lineRule="auto"/>
        <w:ind w:firstLine="400" w:firstLineChars="200"/>
        <w:rPr>
          <w:rFonts w:hint="eastAsia" w:ascii="Times New Roman" w:hAnsi="Times New Roman" w:eastAsia="仿宋" w:cs="仿宋"/>
          <w:b w:val="0"/>
          <w:bCs/>
          <w:smallCaps w:val="0"/>
          <w:sz w:val="20"/>
          <w:szCs w:val="10"/>
          <w:highlight w:val="none"/>
          <w:lang w:val="zh-CN"/>
        </w:rPr>
      </w:pPr>
      <w:bookmarkStart w:id="82" w:name="_Toc31831"/>
      <w:bookmarkStart w:id="83" w:name="_Toc13749"/>
      <w:bookmarkStart w:id="84" w:name="_Toc11676"/>
      <w:r>
        <w:rPr>
          <w:rFonts w:hint="eastAsia" w:ascii="Times New Roman" w:hAnsi="Times New Roman" w:eastAsia="仿宋" w:cs="仿宋"/>
          <w:b w:val="0"/>
          <w:bCs/>
          <w:smallCaps w:val="0"/>
          <w:sz w:val="20"/>
          <w:szCs w:val="10"/>
          <w:highlight w:val="none"/>
          <w:lang w:val="zh-CN"/>
        </w:rPr>
        <w:t xml:space="preserve">投标人：                      </w:t>
      </w:r>
      <w:r>
        <w:rPr>
          <w:rFonts w:hint="eastAsia" w:ascii="Times New Roman" w:hAnsi="Times New Roman" w:eastAsia="仿宋" w:cs="仿宋"/>
          <w:b w:val="0"/>
          <w:bCs/>
          <w:smallCaps w:val="0"/>
          <w:sz w:val="20"/>
          <w:szCs w:val="10"/>
          <w:highlight w:val="none"/>
          <w:lang w:val="en-US" w:eastAsia="zh-CN"/>
        </w:rPr>
        <w:t xml:space="preserve">             </w:t>
      </w:r>
      <w:r>
        <w:rPr>
          <w:rFonts w:hint="eastAsia" w:ascii="Times New Roman" w:hAnsi="Times New Roman" w:eastAsia="仿宋" w:cs="仿宋"/>
          <w:b w:val="0"/>
          <w:bCs/>
          <w:smallCaps w:val="0"/>
          <w:sz w:val="20"/>
          <w:szCs w:val="10"/>
          <w:highlight w:val="none"/>
          <w:lang w:val="zh-CN"/>
        </w:rPr>
        <w:t xml:space="preserve">       招标编号：</w:t>
      </w:r>
      <w:bookmarkEnd w:id="82"/>
      <w:bookmarkEnd w:id="83"/>
      <w:bookmarkEnd w:id="84"/>
    </w:p>
    <w:p w14:paraId="259796AB">
      <w:pPr>
        <w:rPr>
          <w:rFonts w:hint="eastAsia" w:ascii="Times New Roman" w:hAnsi="Times New Roman"/>
          <w:smallCaps w:val="0"/>
          <w:highlight w:val="none"/>
          <w:lang w:val="zh-CN"/>
        </w:rPr>
      </w:pPr>
    </w:p>
    <w:tbl>
      <w:tblPr>
        <w:tblStyle w:val="15"/>
        <w:tblpPr w:leftFromText="180" w:rightFromText="180" w:vertAnchor="text" w:horzAnchor="page" w:tblpXSpec="center" w:tblpY="-9"/>
        <w:tblOverlap w:val="never"/>
        <w:tblW w:w="9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9"/>
        <w:gridCol w:w="1372"/>
        <w:gridCol w:w="1920"/>
        <w:gridCol w:w="1440"/>
        <w:gridCol w:w="1616"/>
        <w:gridCol w:w="1490"/>
        <w:gridCol w:w="770"/>
      </w:tblGrid>
      <w:tr w14:paraId="171B6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3" w:hRule="atLeast"/>
          <w:jc w:val="center"/>
        </w:trPr>
        <w:tc>
          <w:tcPr>
            <w:tcW w:w="629" w:type="dxa"/>
            <w:tcBorders>
              <w:tl2br w:val="nil"/>
              <w:tr2bl w:val="nil"/>
            </w:tcBorders>
            <w:vAlign w:val="center"/>
          </w:tcPr>
          <w:p w14:paraId="2D32B801">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
                <w:smallCaps w:val="0"/>
                <w:sz w:val="21"/>
                <w:szCs w:val="21"/>
                <w:highlight w:val="none"/>
              </w:rPr>
            </w:pPr>
            <w:r>
              <w:rPr>
                <w:rFonts w:hint="eastAsia" w:ascii="Times New Roman" w:hAnsi="Times New Roman" w:eastAsia="宋体" w:cs="仿宋"/>
                <w:b/>
                <w:smallCaps w:val="0"/>
                <w:sz w:val="21"/>
                <w:szCs w:val="21"/>
                <w:highlight w:val="none"/>
              </w:rPr>
              <w:t>序号</w:t>
            </w:r>
          </w:p>
        </w:tc>
        <w:tc>
          <w:tcPr>
            <w:tcW w:w="1372" w:type="dxa"/>
            <w:tcBorders>
              <w:tl2br w:val="nil"/>
              <w:tr2bl w:val="nil"/>
            </w:tcBorders>
            <w:vAlign w:val="center"/>
          </w:tcPr>
          <w:p w14:paraId="6FED9645">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合同条款号</w:t>
            </w:r>
          </w:p>
        </w:tc>
        <w:tc>
          <w:tcPr>
            <w:tcW w:w="1920" w:type="dxa"/>
            <w:tcBorders>
              <w:tl2br w:val="nil"/>
              <w:tr2bl w:val="nil"/>
            </w:tcBorders>
            <w:vAlign w:val="center"/>
          </w:tcPr>
          <w:p w14:paraId="52D8D5D0">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内容</w:t>
            </w:r>
          </w:p>
        </w:tc>
        <w:tc>
          <w:tcPr>
            <w:tcW w:w="1440" w:type="dxa"/>
            <w:tcBorders>
              <w:tl2br w:val="nil"/>
              <w:tr2bl w:val="nil"/>
            </w:tcBorders>
            <w:vAlign w:val="center"/>
          </w:tcPr>
          <w:p w14:paraId="529102DC">
            <w:pPr>
              <w:keepNext w:val="0"/>
              <w:keepLines w:val="0"/>
              <w:widowControl/>
              <w:suppressLineNumbers w:val="0"/>
              <w:jc w:val="center"/>
              <w:textAlignment w:val="center"/>
              <w:rPr>
                <w:rFonts w:hint="eastAsia" w:ascii="Times New Roman" w:hAnsi="Times New Roman" w:eastAsia="宋体" w:cs="仿宋"/>
                <w:b/>
                <w:bCs/>
                <w:i w:val="0"/>
                <w:iCs w:val="0"/>
                <w:smallCaps w:val="0"/>
                <w:color w:val="000000"/>
                <w:kern w:val="0"/>
                <w:sz w:val="21"/>
                <w:szCs w:val="21"/>
                <w:highlight w:val="none"/>
                <w:u w:val="none"/>
                <w:lang w:val="en-US" w:eastAsia="zh-CN" w:bidi="ar"/>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偏离性质</w:t>
            </w:r>
          </w:p>
          <w:p w14:paraId="4A424114">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（选填正偏离、负偏离）</w:t>
            </w:r>
          </w:p>
        </w:tc>
        <w:tc>
          <w:tcPr>
            <w:tcW w:w="1616" w:type="dxa"/>
            <w:tcBorders>
              <w:tl2br w:val="nil"/>
              <w:tr2bl w:val="nil"/>
            </w:tcBorders>
            <w:vAlign w:val="center"/>
          </w:tcPr>
          <w:p w14:paraId="251C2797">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偏离情况说明</w:t>
            </w:r>
          </w:p>
        </w:tc>
        <w:tc>
          <w:tcPr>
            <w:tcW w:w="1490" w:type="dxa"/>
            <w:tcBorders>
              <w:tl2br w:val="nil"/>
              <w:tr2bl w:val="nil"/>
            </w:tcBorders>
            <w:vAlign w:val="center"/>
          </w:tcPr>
          <w:p w14:paraId="43AD9282">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偏离情况对应投标文件页码</w:t>
            </w:r>
          </w:p>
        </w:tc>
        <w:tc>
          <w:tcPr>
            <w:tcW w:w="770" w:type="dxa"/>
            <w:tcBorders>
              <w:tl2br w:val="nil"/>
              <w:tr2bl w:val="nil"/>
            </w:tcBorders>
            <w:vAlign w:val="center"/>
          </w:tcPr>
          <w:p w14:paraId="642E42DA">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
                <w:smallCaps w:val="0"/>
                <w:sz w:val="21"/>
                <w:szCs w:val="21"/>
                <w:highlight w:val="none"/>
              </w:rPr>
            </w:pPr>
            <w:r>
              <w:rPr>
                <w:rFonts w:hint="eastAsia" w:ascii="Times New Roman" w:hAnsi="Times New Roman" w:eastAsia="宋体" w:cs="仿宋"/>
                <w:b/>
                <w:smallCaps w:val="0"/>
                <w:sz w:val="21"/>
                <w:szCs w:val="21"/>
                <w:highlight w:val="none"/>
              </w:rPr>
              <w:t>备注</w:t>
            </w:r>
          </w:p>
        </w:tc>
      </w:tr>
      <w:tr w14:paraId="4EB2A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629" w:type="dxa"/>
            <w:tcBorders>
              <w:tl2br w:val="nil"/>
              <w:tr2bl w:val="nil"/>
            </w:tcBorders>
            <w:vAlign w:val="center"/>
          </w:tcPr>
          <w:p w14:paraId="124BD59F">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1</w:t>
            </w:r>
          </w:p>
        </w:tc>
        <w:tc>
          <w:tcPr>
            <w:tcW w:w="1372" w:type="dxa"/>
            <w:tcBorders>
              <w:tl2br w:val="nil"/>
              <w:tr2bl w:val="nil"/>
            </w:tcBorders>
            <w:vAlign w:val="center"/>
          </w:tcPr>
          <w:p w14:paraId="109E500C">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390C645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17403F6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77A59CA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7E143346">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402FD96C">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6B216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9" w:type="dxa"/>
            <w:tcBorders>
              <w:tl2br w:val="nil"/>
              <w:tr2bl w:val="nil"/>
            </w:tcBorders>
            <w:vAlign w:val="center"/>
          </w:tcPr>
          <w:p w14:paraId="3B46318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2</w:t>
            </w:r>
          </w:p>
        </w:tc>
        <w:tc>
          <w:tcPr>
            <w:tcW w:w="1372" w:type="dxa"/>
            <w:tcBorders>
              <w:tl2br w:val="nil"/>
              <w:tr2bl w:val="nil"/>
            </w:tcBorders>
            <w:vAlign w:val="center"/>
          </w:tcPr>
          <w:p w14:paraId="68FE4C70">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5B9793E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35875D0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0A2AF526">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6DADA2D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5914454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575B6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29" w:type="dxa"/>
            <w:tcBorders>
              <w:tl2br w:val="nil"/>
              <w:tr2bl w:val="nil"/>
            </w:tcBorders>
            <w:vAlign w:val="center"/>
          </w:tcPr>
          <w:p w14:paraId="12A36D3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3</w:t>
            </w:r>
          </w:p>
        </w:tc>
        <w:tc>
          <w:tcPr>
            <w:tcW w:w="1372" w:type="dxa"/>
            <w:tcBorders>
              <w:tl2br w:val="nil"/>
              <w:tr2bl w:val="nil"/>
            </w:tcBorders>
            <w:vAlign w:val="center"/>
          </w:tcPr>
          <w:p w14:paraId="37787CC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1C4B4F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4C3A5D13">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1339868D">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169642E5">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78B05F0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26848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29" w:type="dxa"/>
            <w:tcBorders>
              <w:tl2br w:val="nil"/>
              <w:tr2bl w:val="nil"/>
            </w:tcBorders>
            <w:vAlign w:val="center"/>
          </w:tcPr>
          <w:p w14:paraId="7C8502E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4</w:t>
            </w:r>
          </w:p>
        </w:tc>
        <w:tc>
          <w:tcPr>
            <w:tcW w:w="1372" w:type="dxa"/>
            <w:tcBorders>
              <w:tl2br w:val="nil"/>
              <w:tr2bl w:val="nil"/>
            </w:tcBorders>
            <w:vAlign w:val="center"/>
          </w:tcPr>
          <w:p w14:paraId="5C6A8B10">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BEFE0A0">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2ED9F15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36DFE40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5E27360C">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39DFEFE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55D1D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629" w:type="dxa"/>
            <w:tcBorders>
              <w:tl2br w:val="nil"/>
              <w:tr2bl w:val="nil"/>
            </w:tcBorders>
            <w:vAlign w:val="center"/>
          </w:tcPr>
          <w:p w14:paraId="458AAE8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p w14:paraId="3E1A154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5</w:t>
            </w:r>
          </w:p>
        </w:tc>
        <w:tc>
          <w:tcPr>
            <w:tcW w:w="1372" w:type="dxa"/>
            <w:tcBorders>
              <w:tl2br w:val="nil"/>
              <w:tr2bl w:val="nil"/>
            </w:tcBorders>
            <w:vAlign w:val="center"/>
          </w:tcPr>
          <w:p w14:paraId="562B2A17">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71D07E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6A4D13CB">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1D59518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4FB7826A">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45823550">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0E70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629" w:type="dxa"/>
            <w:tcBorders>
              <w:tl2br w:val="nil"/>
              <w:tr2bl w:val="nil"/>
            </w:tcBorders>
            <w:vAlign w:val="center"/>
          </w:tcPr>
          <w:p w14:paraId="7A88152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6</w:t>
            </w:r>
          </w:p>
        </w:tc>
        <w:tc>
          <w:tcPr>
            <w:tcW w:w="1372" w:type="dxa"/>
            <w:tcBorders>
              <w:tl2br w:val="nil"/>
              <w:tr2bl w:val="nil"/>
            </w:tcBorders>
            <w:vAlign w:val="center"/>
          </w:tcPr>
          <w:p w14:paraId="3ECC827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457C90F5">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03081CA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79198C0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0F20710D">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1C23D1CB">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0C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4" w:hRule="atLeast"/>
          <w:jc w:val="center"/>
        </w:trPr>
        <w:tc>
          <w:tcPr>
            <w:tcW w:w="629" w:type="dxa"/>
            <w:tcBorders>
              <w:tl2br w:val="nil"/>
              <w:tr2bl w:val="nil"/>
            </w:tcBorders>
            <w:vAlign w:val="center"/>
          </w:tcPr>
          <w:p w14:paraId="43067DE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7</w:t>
            </w:r>
          </w:p>
        </w:tc>
        <w:tc>
          <w:tcPr>
            <w:tcW w:w="1372" w:type="dxa"/>
            <w:tcBorders>
              <w:tl2br w:val="nil"/>
              <w:tr2bl w:val="nil"/>
            </w:tcBorders>
            <w:vAlign w:val="center"/>
          </w:tcPr>
          <w:p w14:paraId="1BA0DD5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tcPr>
          <w:p w14:paraId="2A38E095">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tcPr>
          <w:p w14:paraId="1764C9E7">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tcPr>
          <w:p w14:paraId="5FDD129B">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tcPr>
          <w:p w14:paraId="618E3305">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tcPr>
          <w:p w14:paraId="191E9CC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r>
      <w:tr w14:paraId="1B91D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629" w:type="dxa"/>
            <w:tcBorders>
              <w:tl2br w:val="nil"/>
              <w:tr2bl w:val="nil"/>
            </w:tcBorders>
          </w:tcPr>
          <w:p w14:paraId="652A5796">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p w14:paraId="259A1477">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372" w:type="dxa"/>
            <w:tcBorders>
              <w:tl2br w:val="nil"/>
              <w:tr2bl w:val="nil"/>
            </w:tcBorders>
            <w:vAlign w:val="center"/>
          </w:tcPr>
          <w:p w14:paraId="28DB894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仿宋"/>
                <w:bCs/>
                <w:smallCaps w:val="0"/>
                <w:sz w:val="21"/>
                <w:szCs w:val="21"/>
                <w:highlight w:val="none"/>
                <w:lang w:val="en-US" w:eastAsia="zh-CN"/>
              </w:rPr>
            </w:pPr>
            <w:r>
              <w:rPr>
                <w:rFonts w:hint="eastAsia" w:ascii="Times New Roman" w:hAnsi="Times New Roman" w:eastAsia="宋体" w:cs="仿宋"/>
                <w:bCs/>
                <w:smallCaps w:val="0"/>
                <w:sz w:val="21"/>
                <w:szCs w:val="21"/>
                <w:highlight w:val="none"/>
                <w:lang w:val="en-US" w:eastAsia="zh-CN"/>
              </w:rPr>
              <w:t>......</w:t>
            </w:r>
          </w:p>
        </w:tc>
        <w:tc>
          <w:tcPr>
            <w:tcW w:w="1920" w:type="dxa"/>
            <w:tcBorders>
              <w:tl2br w:val="nil"/>
              <w:tr2bl w:val="nil"/>
            </w:tcBorders>
          </w:tcPr>
          <w:p w14:paraId="2A63DA99">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tcPr>
          <w:p w14:paraId="5F18DE76">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tcPr>
          <w:p w14:paraId="31AD88E2">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tcPr>
          <w:p w14:paraId="5938CF60">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tcPr>
          <w:p w14:paraId="3C627741">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r>
    </w:tbl>
    <w:p w14:paraId="1C3CD32A">
      <w:pPr>
        <w:pageBreakBefore w:val="0"/>
        <w:widowControl/>
        <w:kinsoku/>
        <w:wordWrap/>
        <w:overflowPunct/>
        <w:topLinePunct w:val="0"/>
        <w:autoSpaceDE/>
        <w:autoSpaceDN/>
        <w:bidi w:val="0"/>
        <w:adjustRightInd/>
        <w:snapToGrid/>
        <w:spacing w:beforeLines="50" w:line="240" w:lineRule="auto"/>
        <w:ind w:firstLine="422" w:firstLineChars="200"/>
        <w:textAlignment w:val="auto"/>
        <w:rPr>
          <w:rFonts w:hint="eastAsia" w:ascii="Times New Roman" w:hAnsi="Times New Roman" w:eastAsia="仿宋" w:cs="仿宋"/>
          <w:b/>
          <w:bCs/>
          <w:smallCaps w:val="0"/>
          <w:sz w:val="21"/>
          <w:szCs w:val="21"/>
          <w:highlight w:val="none"/>
        </w:rPr>
      </w:pPr>
      <w:r>
        <w:rPr>
          <w:rFonts w:hint="eastAsia" w:ascii="Times New Roman" w:hAnsi="Times New Roman" w:eastAsia="仿宋" w:cs="仿宋"/>
          <w:b/>
          <w:bCs/>
          <w:smallCaps w:val="0"/>
          <w:sz w:val="21"/>
          <w:szCs w:val="21"/>
          <w:highlight w:val="none"/>
        </w:rPr>
        <w:t>说明：</w:t>
      </w:r>
    </w:p>
    <w:p w14:paraId="253D038C">
      <w:pPr>
        <w:pageBreakBefore w:val="0"/>
        <w:widowControl/>
        <w:numPr>
          <w:ilvl w:val="0"/>
          <w:numId w:val="11"/>
        </w:numPr>
        <w:kinsoku/>
        <w:wordWrap/>
        <w:overflowPunct/>
        <w:topLinePunct w:val="0"/>
        <w:autoSpaceDE/>
        <w:autoSpaceDN/>
        <w:bidi w:val="0"/>
        <w:adjustRightInd/>
        <w:snapToGrid/>
        <w:spacing w:beforeLines="50" w:line="240" w:lineRule="auto"/>
        <w:ind w:firstLine="420" w:firstLineChars="200"/>
        <w:textAlignment w:val="auto"/>
        <w:rPr>
          <w:rFonts w:hint="eastAsia" w:ascii="仿宋_GB2312" w:hAnsi="仿宋_GB2312" w:eastAsia="仿宋_GB2312" w:cs="仿宋_GB2312"/>
          <w:b w:val="0"/>
          <w:bCs w:val="0"/>
          <w:smallCaps w:val="0"/>
          <w:sz w:val="21"/>
          <w:szCs w:val="21"/>
          <w:highlight w:val="none"/>
          <w:lang w:val="en-US" w:eastAsia="zh-CN"/>
        </w:rPr>
      </w:pPr>
      <w:r>
        <w:rPr>
          <w:rFonts w:hint="eastAsia" w:ascii="仿宋_GB2312" w:hAnsi="仿宋_GB2312" w:eastAsia="仿宋_GB2312" w:cs="仿宋_GB2312"/>
          <w:b w:val="0"/>
          <w:bCs w:val="0"/>
          <w:smallCaps w:val="0"/>
          <w:kern w:val="0"/>
          <w:sz w:val="21"/>
          <w:szCs w:val="21"/>
          <w:highlight w:val="none"/>
          <w:lang w:val="en-US" w:eastAsia="zh-CN"/>
        </w:rPr>
        <w:t>偏离性质以采购人列示合同条款为基准，作出对采购人有利修改的为正偏离，反之为负偏离。</w:t>
      </w:r>
    </w:p>
    <w:p w14:paraId="381C6287">
      <w:pPr>
        <w:pageBreakBefore w:val="0"/>
        <w:widowControl w:val="0"/>
        <w:numPr>
          <w:ilvl w:val="0"/>
          <w:numId w:val="11"/>
        </w:numPr>
        <w:kinsoku/>
        <w:wordWrap/>
        <w:overflowPunct/>
        <w:topLinePunct w:val="0"/>
        <w:autoSpaceDE/>
        <w:autoSpaceDN/>
        <w:bidi w:val="0"/>
        <w:adjustRightInd/>
        <w:snapToGrid/>
        <w:spacing w:beforeLines="50" w:line="240" w:lineRule="auto"/>
        <w:ind w:firstLine="420" w:firstLineChars="200"/>
        <w:textAlignment w:val="auto"/>
        <w:rPr>
          <w:rFonts w:hint="eastAsia" w:ascii="仿宋_GB2312" w:hAnsi="仿宋_GB2312" w:eastAsia="仿宋_GB2312" w:cs="仿宋_GB2312"/>
          <w:b w:val="0"/>
          <w:bCs w:val="0"/>
          <w:smallCaps w:val="0"/>
          <w:kern w:val="2"/>
          <w:sz w:val="21"/>
          <w:szCs w:val="21"/>
          <w:highlight w:val="none"/>
        </w:rPr>
      </w:pPr>
      <w:r>
        <w:rPr>
          <w:rFonts w:hint="eastAsia" w:ascii="仿宋_GB2312" w:hAnsi="仿宋_GB2312" w:eastAsia="仿宋_GB2312" w:cs="仿宋_GB2312"/>
          <w:b w:val="0"/>
          <w:bCs w:val="0"/>
          <w:smallCaps w:val="0"/>
          <w:sz w:val="21"/>
          <w:szCs w:val="21"/>
          <w:highlight w:val="none"/>
        </w:rPr>
        <w:t>投标人应准确完整阅读谈判文件并就谈判文件内合同条款与投标人实际提供服务产生的偏离情况进行完整、准确说明</w:t>
      </w:r>
      <w:r>
        <w:rPr>
          <w:rFonts w:hint="eastAsia" w:ascii="仿宋_GB2312" w:hAnsi="仿宋_GB2312" w:eastAsia="仿宋_GB2312" w:cs="仿宋_GB2312"/>
          <w:b w:val="0"/>
          <w:bCs w:val="0"/>
          <w:smallCaps w:val="0"/>
          <w:sz w:val="21"/>
          <w:szCs w:val="21"/>
          <w:highlight w:val="none"/>
          <w:lang w:eastAsia="zh-CN"/>
        </w:rPr>
        <w:t>，</w:t>
      </w:r>
      <w:r>
        <w:rPr>
          <w:rFonts w:hint="eastAsia" w:ascii="仿宋_GB2312" w:hAnsi="仿宋_GB2312" w:eastAsia="仿宋_GB2312" w:cs="仿宋_GB2312"/>
          <w:b w:val="0"/>
          <w:bCs w:val="0"/>
          <w:smallCaps w:val="0"/>
          <w:sz w:val="21"/>
          <w:szCs w:val="21"/>
          <w:highlight w:val="none"/>
          <w:lang w:val="en-US" w:eastAsia="zh-CN"/>
        </w:rPr>
        <w:t>投标人未予列示的，默认为无偏离承诺</w:t>
      </w:r>
      <w:r>
        <w:rPr>
          <w:rFonts w:hint="eastAsia" w:ascii="仿宋_GB2312" w:hAnsi="仿宋_GB2312" w:eastAsia="仿宋_GB2312" w:cs="仿宋_GB2312"/>
          <w:b w:val="0"/>
          <w:bCs w:val="0"/>
          <w:smallCaps w:val="0"/>
          <w:sz w:val="21"/>
          <w:szCs w:val="21"/>
          <w:highlight w:val="none"/>
        </w:rPr>
        <w:t>。投标人未在本表中示明，但在服务方案中存在偏离的情况，</w:t>
      </w:r>
      <w:r>
        <w:rPr>
          <w:rFonts w:hint="eastAsia" w:ascii="仿宋_GB2312" w:hAnsi="仿宋_GB2312" w:eastAsia="仿宋_GB2312" w:cs="仿宋_GB2312"/>
          <w:b w:val="0"/>
          <w:bCs w:val="0"/>
          <w:smallCaps w:val="0"/>
          <w:sz w:val="21"/>
          <w:szCs w:val="21"/>
          <w:highlight w:val="none"/>
          <w:lang w:val="en-US" w:eastAsia="zh-CN"/>
        </w:rPr>
        <w:t>招标</w:t>
      </w:r>
      <w:r>
        <w:rPr>
          <w:rFonts w:hint="eastAsia" w:ascii="仿宋_GB2312" w:hAnsi="仿宋_GB2312" w:eastAsia="仿宋_GB2312" w:cs="仿宋_GB2312"/>
          <w:b w:val="0"/>
          <w:bCs w:val="0"/>
          <w:smallCaps w:val="0"/>
          <w:sz w:val="21"/>
          <w:szCs w:val="21"/>
          <w:highlight w:val="none"/>
        </w:rPr>
        <w:t>人有权判定为废标。</w:t>
      </w:r>
    </w:p>
    <w:p w14:paraId="0C58A6BD">
      <w:pPr>
        <w:pStyle w:val="2"/>
        <w:rPr>
          <w:rFonts w:hint="eastAsia" w:ascii="Times New Roman" w:hAnsi="Times New Roman"/>
          <w:smallCaps w:val="0"/>
          <w:sz w:val="32"/>
          <w:szCs w:val="18"/>
          <w:highlight w:val="none"/>
        </w:rPr>
      </w:pPr>
    </w:p>
    <w:p w14:paraId="071A75D2">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09651FD">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15B12C58">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Cs/>
          <w:smallCaps w:val="0"/>
          <w:kern w:val="0"/>
          <w:sz w:val="24"/>
          <w:szCs w:val="24"/>
          <w:highlight w:val="none"/>
        </w:rPr>
      </w:pPr>
      <w:r>
        <w:rPr>
          <w:rFonts w:hint="eastAsia" w:ascii="Times New Roman" w:hAnsi="Times New Roman" w:eastAsia="仿宋" w:cs="仿宋"/>
          <w:b/>
          <w:smallCaps w:val="0"/>
          <w:kern w:val="0"/>
          <w:sz w:val="21"/>
          <w:szCs w:val="21"/>
          <w:highlight w:val="none"/>
        </w:rPr>
        <w:t>日期：</w:t>
      </w:r>
      <w:r>
        <w:rPr>
          <w:rFonts w:hint="eastAsia" w:ascii="Times New Roman" w:hAnsi="Times New Roman" w:eastAsia="仿宋" w:cs="仿宋"/>
          <w:bCs/>
          <w:smallCaps w:val="0"/>
          <w:kern w:val="0"/>
          <w:sz w:val="24"/>
          <w:szCs w:val="24"/>
          <w:highlight w:val="none"/>
        </w:rPr>
        <w:br w:type="page"/>
      </w:r>
    </w:p>
    <w:p w14:paraId="5A2CC95A">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lang w:val="zh-CN"/>
        </w:rPr>
      </w:pPr>
      <w:bookmarkStart w:id="85" w:name="_Toc6123"/>
      <w:bookmarkStart w:id="86" w:name="_Toc21663"/>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6</w:t>
      </w:r>
      <w:r>
        <w:rPr>
          <w:rFonts w:hint="eastAsia" w:ascii="Times New Roman" w:hAnsi="Times New Roman" w:eastAsia="仿宋" w:cs="仿宋"/>
          <w:b/>
          <w:bCs w:val="0"/>
          <w:smallCaps w:val="0"/>
          <w:sz w:val="22"/>
          <w:szCs w:val="22"/>
          <w:highlight w:val="none"/>
          <w:lang w:val="zh-CN"/>
        </w:rPr>
        <w:t>：</w:t>
      </w:r>
      <w:r>
        <w:rPr>
          <w:rFonts w:hint="eastAsia" w:ascii="Times New Roman" w:hAnsi="Times New Roman" w:eastAsia="仿宋" w:cs="仿宋"/>
          <w:b/>
          <w:bCs w:val="0"/>
          <w:smallCaps w:val="0"/>
          <w:sz w:val="22"/>
          <w:szCs w:val="22"/>
          <w:highlight w:val="none"/>
          <w:lang w:val="en-US" w:eastAsia="zh-CN"/>
        </w:rPr>
        <w:t>服务项目报价单</w:t>
      </w:r>
      <w:bookmarkEnd w:id="85"/>
    </w:p>
    <w:p w14:paraId="64D97365">
      <w:pPr>
        <w:pageBreakBefore w:val="0"/>
        <w:kinsoku/>
        <w:overflowPunct/>
        <w:topLinePunct w:val="0"/>
        <w:autoSpaceDE/>
        <w:autoSpaceDN/>
        <w:bidi w:val="0"/>
        <w:spacing w:line="560" w:lineRule="exact"/>
        <w:jc w:val="center"/>
        <w:rPr>
          <w:rFonts w:hint="eastAsia" w:ascii="Times New Roman" w:hAnsi="Times New Roman" w:eastAsia="方正小标宋简体" w:cs="方正小标宋简体"/>
          <w:b w:val="0"/>
          <w:bCs w:val="0"/>
          <w:smallCaps w:val="0"/>
          <w:sz w:val="32"/>
          <w:szCs w:val="32"/>
          <w:highlight w:val="none"/>
          <w:lang w:val="en-US" w:eastAsia="zh-CN"/>
        </w:rPr>
      </w:pPr>
      <w:r>
        <w:rPr>
          <w:rFonts w:hint="eastAsia" w:ascii="Times New Roman" w:hAnsi="Times New Roman" w:eastAsia="方正小标宋简体" w:cs="方正小标宋简体"/>
          <w:b w:val="0"/>
          <w:bCs w:val="0"/>
          <w:smallCaps w:val="0"/>
          <w:sz w:val="32"/>
          <w:szCs w:val="32"/>
          <w:highlight w:val="none"/>
          <w:lang w:val="en-US" w:eastAsia="zh-CN"/>
        </w:rPr>
        <w:t>服务项目报价单</w:t>
      </w:r>
    </w:p>
    <w:p w14:paraId="04648AB3">
      <w:pPr>
        <w:pStyle w:val="2"/>
        <w:spacing w:line="240" w:lineRule="auto"/>
        <w:rPr>
          <w:rFonts w:hint="eastAsia" w:ascii="Times New Roman" w:hAnsi="Times New Roman"/>
          <w:smallCaps w:val="0"/>
          <w:sz w:val="21"/>
          <w:szCs w:val="11"/>
          <w:highlight w:val="none"/>
          <w:lang w:val="en-US" w:eastAsia="zh-CN"/>
        </w:rPr>
      </w:pPr>
    </w:p>
    <w:p w14:paraId="6D770D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bCs/>
          <w:smallCaps w:val="0"/>
          <w:sz w:val="24"/>
          <w:szCs w:val="24"/>
          <w:highlight w:val="none"/>
        </w:rPr>
      </w:pPr>
      <w:r>
        <w:rPr>
          <w:rFonts w:hint="eastAsia" w:ascii="Times New Roman" w:hAnsi="Times New Roman" w:eastAsia="仿宋" w:cs="仿宋"/>
          <w:bCs/>
          <w:smallCaps w:val="0"/>
          <w:sz w:val="24"/>
          <w:szCs w:val="24"/>
          <w:highlight w:val="none"/>
        </w:rPr>
        <w:t>致：深圳市鹏劳人力资源管理有限公司</w:t>
      </w:r>
    </w:p>
    <w:p w14:paraId="67DA54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 w:cs="仿宋"/>
          <w:bCs/>
          <w:smallCaps w:val="0"/>
          <w:sz w:val="24"/>
          <w:szCs w:val="24"/>
          <w:highlight w:val="none"/>
        </w:rPr>
      </w:pPr>
      <w:r>
        <w:rPr>
          <w:rFonts w:hint="eastAsia" w:ascii="Times New Roman" w:hAnsi="Times New Roman" w:eastAsia="仿宋" w:cs="仿宋"/>
          <w:bCs/>
          <w:smallCaps w:val="0"/>
          <w:sz w:val="24"/>
          <w:szCs w:val="24"/>
          <w:highlight w:val="none"/>
          <w:lang w:val="en-US" w:eastAsia="zh-CN"/>
        </w:rPr>
        <w:t>电脑设备租赁</w:t>
      </w:r>
      <w:r>
        <w:rPr>
          <w:rFonts w:hint="eastAsia" w:ascii="Times New Roman" w:hAnsi="Times New Roman" w:eastAsia="仿宋" w:cs="仿宋"/>
          <w:bCs/>
          <w:smallCaps w:val="0"/>
          <w:sz w:val="24"/>
          <w:szCs w:val="24"/>
          <w:highlight w:val="none"/>
        </w:rPr>
        <w:t>服务</w:t>
      </w:r>
      <w:r>
        <w:rPr>
          <w:rFonts w:hint="eastAsia" w:ascii="Times New Roman" w:hAnsi="Times New Roman" w:eastAsia="仿宋" w:cs="仿宋"/>
          <w:bCs/>
          <w:smallCaps w:val="0"/>
          <w:sz w:val="24"/>
          <w:szCs w:val="24"/>
          <w:highlight w:val="none"/>
          <w:lang w:val="en-US" w:eastAsia="zh-CN"/>
        </w:rPr>
        <w:t>采购</w:t>
      </w:r>
      <w:r>
        <w:rPr>
          <w:rFonts w:hint="eastAsia" w:ascii="Times New Roman" w:hAnsi="Times New Roman" w:eastAsia="仿宋" w:cs="仿宋"/>
          <w:bCs/>
          <w:smallCaps w:val="0"/>
          <w:sz w:val="24"/>
          <w:szCs w:val="24"/>
          <w:highlight w:val="none"/>
        </w:rPr>
        <w:t>项目（招标编号：PLHR-ZB-FW-202</w:t>
      </w:r>
      <w:r>
        <w:rPr>
          <w:rFonts w:hint="eastAsia" w:ascii="Times New Roman" w:hAnsi="Times New Roman" w:eastAsia="仿宋" w:cs="仿宋"/>
          <w:bCs/>
          <w:smallCaps w:val="0"/>
          <w:sz w:val="24"/>
          <w:szCs w:val="24"/>
          <w:highlight w:val="none"/>
          <w:lang w:val="en-US" w:eastAsia="zh-CN"/>
        </w:rPr>
        <w:t>407</w:t>
      </w:r>
      <w:r>
        <w:rPr>
          <w:rFonts w:hint="eastAsia" w:ascii="Times New Roman" w:hAnsi="Times New Roman" w:eastAsia="仿宋" w:cs="仿宋"/>
          <w:bCs/>
          <w:smallCaps w:val="0"/>
          <w:sz w:val="24"/>
          <w:szCs w:val="24"/>
          <w:highlight w:val="none"/>
        </w:rPr>
        <w:t>）项目报价如下：</w:t>
      </w: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320"/>
        <w:gridCol w:w="1253"/>
        <w:gridCol w:w="1745"/>
        <w:gridCol w:w="1930"/>
        <w:gridCol w:w="953"/>
      </w:tblGrid>
      <w:tr w14:paraId="6D35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58" w:type="dxa"/>
            <w:vAlign w:val="center"/>
          </w:tcPr>
          <w:p w14:paraId="4BF90E9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配置要求</w:t>
            </w:r>
          </w:p>
        </w:tc>
        <w:tc>
          <w:tcPr>
            <w:tcW w:w="1320" w:type="dxa"/>
            <w:vAlign w:val="center"/>
          </w:tcPr>
          <w:p w14:paraId="7142DB0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品牌型号</w:t>
            </w:r>
          </w:p>
        </w:tc>
        <w:tc>
          <w:tcPr>
            <w:tcW w:w="1253" w:type="dxa"/>
            <w:vAlign w:val="center"/>
          </w:tcPr>
          <w:p w14:paraId="55DCAB5F">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设备成新</w:t>
            </w:r>
          </w:p>
        </w:tc>
        <w:tc>
          <w:tcPr>
            <w:tcW w:w="1745" w:type="dxa"/>
            <w:vAlign w:val="center"/>
          </w:tcPr>
          <w:p w14:paraId="3291392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租赁费用</w:t>
            </w:r>
          </w:p>
          <w:p w14:paraId="06F6CCEB">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（元/台/月）</w:t>
            </w:r>
          </w:p>
        </w:tc>
        <w:tc>
          <w:tcPr>
            <w:tcW w:w="1930" w:type="dxa"/>
            <w:vAlign w:val="center"/>
          </w:tcPr>
          <w:p w14:paraId="50B00521">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预计租赁数量</w:t>
            </w:r>
          </w:p>
          <w:p w14:paraId="0342DBCE">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（台）</w:t>
            </w:r>
          </w:p>
        </w:tc>
        <w:tc>
          <w:tcPr>
            <w:tcW w:w="953" w:type="dxa"/>
            <w:vAlign w:val="center"/>
          </w:tcPr>
          <w:p w14:paraId="209AB86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备注</w:t>
            </w:r>
          </w:p>
        </w:tc>
      </w:tr>
      <w:tr w14:paraId="6CB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858" w:type="dxa"/>
            <w:vAlign w:val="center"/>
          </w:tcPr>
          <w:p w14:paraId="3749E6F3">
            <w:pPr>
              <w:pStyle w:val="30"/>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不低于i511代CPU、16G内存及512GSSD硬盘</w:t>
            </w:r>
          </w:p>
        </w:tc>
        <w:tc>
          <w:tcPr>
            <w:tcW w:w="1320" w:type="dxa"/>
            <w:vAlign w:val="center"/>
          </w:tcPr>
          <w:p w14:paraId="6BCDF09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u w:val="none"/>
                <w:vertAlign w:val="baseline"/>
                <w:lang w:val="en-US" w:eastAsia="zh-CN"/>
              </w:rPr>
            </w:pPr>
          </w:p>
        </w:tc>
        <w:tc>
          <w:tcPr>
            <w:tcW w:w="1253" w:type="dxa"/>
            <w:vAlign w:val="center"/>
          </w:tcPr>
          <w:p w14:paraId="764B337D">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i w:val="0"/>
                <w:iCs w:val="0"/>
                <w:smallCaps w:val="0"/>
                <w:sz w:val="24"/>
                <w:szCs w:val="24"/>
                <w:highlight w:val="none"/>
                <w:u w:val="none"/>
                <w:vertAlign w:val="baseline"/>
                <w:lang w:val="en-US" w:eastAsia="zh-CN"/>
              </w:rPr>
            </w:pPr>
            <w:r>
              <w:rPr>
                <w:rFonts w:hint="eastAsia" w:asciiTheme="minorEastAsia" w:hAnsiTheme="minorEastAsia" w:eastAsiaTheme="minorEastAsia" w:cstheme="minorEastAsia"/>
                <w:b w:val="0"/>
                <w:bCs w:val="0"/>
                <w:i w:val="0"/>
                <w:iCs w:val="0"/>
                <w:smallCaps w:val="0"/>
                <w:sz w:val="24"/>
                <w:szCs w:val="24"/>
                <w:highlight w:val="none"/>
                <w:u w:val="none"/>
                <w:vertAlign w:val="baseline"/>
                <w:lang w:val="en-US" w:eastAsia="zh-CN"/>
              </w:rPr>
              <w:t>全新机</w:t>
            </w:r>
          </w:p>
        </w:tc>
        <w:tc>
          <w:tcPr>
            <w:tcW w:w="1745" w:type="dxa"/>
            <w:vAlign w:val="center"/>
          </w:tcPr>
          <w:p w14:paraId="580B604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含增值税</w:t>
            </w:r>
          </w:p>
          <w:p w14:paraId="3A6BDD34">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i w:val="0"/>
                <w:iCs w:val="0"/>
                <w:smallCaps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b w:val="0"/>
                <w:bCs w:val="0"/>
                <w:smallCaps w:val="0"/>
                <w:sz w:val="24"/>
                <w:szCs w:val="24"/>
                <w:highlight w:val="none"/>
                <w:vertAlign w:val="baseline"/>
                <w:lang w:val="en-US" w:eastAsia="zh-CN"/>
              </w:rPr>
              <w:t>元</w:t>
            </w:r>
          </w:p>
        </w:tc>
        <w:tc>
          <w:tcPr>
            <w:tcW w:w="1930" w:type="dxa"/>
            <w:vAlign w:val="center"/>
          </w:tcPr>
          <w:p w14:paraId="2A3F4790">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150台</w:t>
            </w:r>
          </w:p>
          <w:p w14:paraId="13046B91">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（截止至2025年底）</w:t>
            </w:r>
          </w:p>
        </w:tc>
        <w:tc>
          <w:tcPr>
            <w:tcW w:w="953" w:type="dxa"/>
            <w:vAlign w:val="center"/>
          </w:tcPr>
          <w:p w14:paraId="323A2214">
            <w:pPr>
              <w:pStyle w:val="30"/>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p>
        </w:tc>
      </w:tr>
    </w:tbl>
    <w:p w14:paraId="5CC6A9C4">
      <w:pPr>
        <w:pageBreakBefore w:val="0"/>
        <w:kinsoku/>
        <w:overflowPunct/>
        <w:topLinePunct w:val="0"/>
        <w:autoSpaceDE/>
        <w:autoSpaceDN/>
        <w:bidi w:val="0"/>
        <w:spacing w:line="560" w:lineRule="exact"/>
        <w:ind w:firstLine="422" w:firstLineChars="200"/>
        <w:rPr>
          <w:rFonts w:hint="eastAsia" w:ascii="Times New Roman" w:hAnsi="Times New Roman" w:eastAsia="仿宋" w:cs="仿宋"/>
          <w:b/>
          <w:bCs/>
          <w:smallCaps w:val="0"/>
          <w:sz w:val="21"/>
          <w:szCs w:val="21"/>
          <w:highlight w:val="none"/>
        </w:rPr>
      </w:pPr>
      <w:r>
        <w:rPr>
          <w:rFonts w:hint="eastAsia" w:ascii="Times New Roman" w:hAnsi="Times New Roman" w:eastAsia="仿宋" w:cs="仿宋"/>
          <w:b/>
          <w:bCs/>
          <w:smallCaps w:val="0"/>
          <w:sz w:val="21"/>
          <w:szCs w:val="21"/>
          <w:highlight w:val="none"/>
        </w:rPr>
        <w:t xml:space="preserve">报价要求： </w:t>
      </w:r>
    </w:p>
    <w:p w14:paraId="71E67C2A">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bCs/>
          <w:smallCaps w:val="0"/>
          <w:sz w:val="21"/>
          <w:szCs w:val="21"/>
          <w:highlight w:val="none"/>
        </w:rPr>
      </w:pPr>
      <w:r>
        <w:rPr>
          <w:rFonts w:hint="eastAsia" w:ascii="仿宋_GB2312" w:hAnsi="仿宋_GB2312" w:eastAsia="仿宋_GB2312" w:cs="仿宋_GB2312"/>
          <w:bCs/>
          <w:smallCaps w:val="0"/>
          <w:sz w:val="21"/>
          <w:szCs w:val="21"/>
          <w:highlight w:val="none"/>
        </w:rPr>
        <w:t>投标人应按表格如实准确填列，不可缺项、漏项、错项，否则可能导致废标；</w:t>
      </w:r>
    </w:p>
    <w:p w14:paraId="3222B642">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bCs/>
          <w:smallCaps w:val="0"/>
          <w:sz w:val="21"/>
          <w:szCs w:val="21"/>
          <w:highlight w:val="none"/>
        </w:rPr>
      </w:pPr>
      <w:r>
        <w:rPr>
          <w:rFonts w:hint="eastAsia" w:ascii="仿宋_GB2312" w:hAnsi="仿宋_GB2312" w:eastAsia="仿宋_GB2312" w:cs="仿宋_GB2312"/>
          <w:bCs/>
          <w:smallCaps w:val="0"/>
          <w:sz w:val="21"/>
          <w:szCs w:val="21"/>
          <w:highlight w:val="none"/>
        </w:rPr>
        <w:t>投标金额大小写不一致的以大写为准。电子文档与纸质文档不一致的以纸质文档为准。正本与副本不一致的以正本为准。总价填列与计算结果不一致的以最终计算与修正结果为准</w:t>
      </w:r>
      <w:r>
        <w:rPr>
          <w:rFonts w:hint="eastAsia" w:ascii="仿宋_GB2312" w:hAnsi="仿宋_GB2312" w:eastAsia="仿宋_GB2312" w:cs="仿宋_GB2312"/>
          <w:bCs/>
          <w:smallCaps w:val="0"/>
          <w:sz w:val="21"/>
          <w:szCs w:val="21"/>
          <w:highlight w:val="none"/>
          <w:lang w:eastAsia="zh-CN"/>
        </w:rPr>
        <w:t>；</w:t>
      </w:r>
    </w:p>
    <w:p w14:paraId="5FE118E3">
      <w:pPr>
        <w:pStyle w:val="2"/>
        <w:numPr>
          <w:ilvl w:val="0"/>
          <w:numId w:val="12"/>
        </w:numPr>
        <w:spacing w:line="240" w:lineRule="auto"/>
        <w:ind w:firstLine="420" w:firstLineChars="200"/>
        <w:rPr>
          <w:rFonts w:hint="eastAsia" w:ascii="仿宋_GB2312" w:hAnsi="仿宋_GB2312" w:eastAsia="仿宋_GB2312" w:cs="仿宋_GB2312"/>
          <w:b w:val="0"/>
          <w:bCs/>
          <w:smallCaps w:val="0"/>
          <w:sz w:val="21"/>
          <w:szCs w:val="21"/>
          <w:highlight w:val="none"/>
          <w:lang w:val="en-US" w:eastAsia="zh-CN"/>
        </w:rPr>
      </w:pPr>
      <w:bookmarkStart w:id="87" w:name="_Toc4684"/>
      <w:bookmarkStart w:id="88" w:name="_Toc22763"/>
      <w:bookmarkStart w:id="89" w:name="_Toc14380"/>
      <w:r>
        <w:rPr>
          <w:rFonts w:hint="eastAsia" w:ascii="仿宋_GB2312" w:hAnsi="仿宋_GB2312" w:eastAsia="仿宋_GB2312" w:cs="仿宋_GB2312"/>
          <w:b w:val="0"/>
          <w:bCs/>
          <w:smallCaps w:val="0"/>
          <w:sz w:val="21"/>
          <w:szCs w:val="21"/>
          <w:highlight w:val="none"/>
          <w:lang w:val="en-US" w:eastAsia="zh-CN"/>
        </w:rPr>
        <w:t>投标人可以随附其他投标人认为需要对本报价表做出必要补充说明的文件；</w:t>
      </w:r>
      <w:bookmarkEnd w:id="87"/>
      <w:bookmarkEnd w:id="88"/>
      <w:bookmarkEnd w:id="89"/>
    </w:p>
    <w:p w14:paraId="05EEEA55">
      <w:pPr>
        <w:keepNext w:val="0"/>
        <w:keepLines w:val="0"/>
        <w:numPr>
          <w:ilvl w:val="0"/>
          <w:numId w:val="12"/>
        </w:numPr>
        <w:spacing w:line="240" w:lineRule="auto"/>
        <w:ind w:firstLine="420" w:firstLineChars="200"/>
        <w:rPr>
          <w:rFonts w:hint="eastAsia" w:ascii="Times New Roman" w:hAnsi="Times New Roman" w:eastAsia="仿宋" w:cs="仿宋"/>
          <w:bCs/>
          <w:smallCaps w:val="0"/>
          <w:sz w:val="21"/>
          <w:szCs w:val="21"/>
          <w:highlight w:val="none"/>
          <w:lang w:val="en-US" w:eastAsia="zh-CN"/>
        </w:rPr>
      </w:pPr>
      <w:r>
        <w:rPr>
          <w:rFonts w:hint="eastAsia" w:ascii="仿宋_GB2312" w:hAnsi="仿宋_GB2312" w:eastAsia="仿宋_GB2312" w:cs="仿宋_GB2312"/>
          <w:bCs/>
          <w:smallCaps w:val="0"/>
          <w:sz w:val="21"/>
          <w:szCs w:val="21"/>
          <w:highlight w:val="none"/>
          <w:lang w:val="en-US" w:eastAsia="zh-CN"/>
        </w:rPr>
        <w:t>此表应经法定代表人或授权代表人签名，并加盖投标人单位公章，否则无效，作废标处理。</w:t>
      </w:r>
    </w:p>
    <w:p w14:paraId="4F2EC1B6">
      <w:pPr>
        <w:rPr>
          <w:rFonts w:hint="eastAsia" w:ascii="Times New Roman" w:hAnsi="Times New Roman"/>
          <w:smallCaps w:val="0"/>
          <w:highlight w:val="none"/>
          <w:lang w:val="en-US" w:eastAsia="zh-CN"/>
        </w:rPr>
      </w:pPr>
    </w:p>
    <w:p w14:paraId="4B3CEE7D">
      <w:pPr>
        <w:rPr>
          <w:rFonts w:hint="eastAsia" w:ascii="Times New Roman" w:hAnsi="Times New Roman" w:eastAsia="仿宋" w:cs="仿宋"/>
          <w:smallCaps w:val="0"/>
          <w:sz w:val="21"/>
          <w:szCs w:val="21"/>
          <w:highlight w:val="none"/>
          <w:lang w:val="en-US" w:eastAsia="zh-CN"/>
        </w:rPr>
      </w:pPr>
    </w:p>
    <w:p w14:paraId="3FA5D06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105C4ED">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27F77339">
      <w:pPr>
        <w:pStyle w:val="2"/>
        <w:rPr>
          <w:rFonts w:hint="default" w:ascii="Times New Roman" w:hAnsi="Times New Roman"/>
          <w:smallCaps w:val="0"/>
          <w:highlight w:val="none"/>
          <w:lang w:val="en-US" w:eastAsia="zh-CN"/>
        </w:rPr>
      </w:pPr>
      <w:bookmarkStart w:id="90" w:name="_Toc5679"/>
      <w:bookmarkStart w:id="91" w:name="_Toc26065"/>
      <w:bookmarkStart w:id="92" w:name="_Toc11411"/>
      <w:r>
        <w:rPr>
          <w:rFonts w:hint="eastAsia" w:ascii="Times New Roman" w:hAnsi="Times New Roman" w:eastAsia="仿宋" w:cs="仿宋"/>
          <w:b/>
          <w:smallCaps w:val="0"/>
          <w:kern w:val="0"/>
          <w:sz w:val="21"/>
          <w:szCs w:val="21"/>
          <w:highlight w:val="none"/>
        </w:rPr>
        <w:t>日期：</w:t>
      </w:r>
      <w:bookmarkEnd w:id="90"/>
      <w:bookmarkEnd w:id="91"/>
      <w:bookmarkEnd w:id="92"/>
    </w:p>
    <w:p w14:paraId="60AC52B8">
      <w:pPr>
        <w:pStyle w:val="4"/>
        <w:pageBreakBefore w:val="0"/>
        <w:kinsoku/>
        <w:overflowPunct/>
        <w:topLinePunct w:val="0"/>
        <w:autoSpaceDE/>
        <w:autoSpaceDN/>
        <w:bidi w:val="0"/>
        <w:spacing w:line="560" w:lineRule="exact"/>
        <w:ind w:firstLine="482"/>
        <w:jc w:val="left"/>
        <w:rPr>
          <w:rFonts w:hint="eastAsia" w:ascii="Times New Roman" w:hAnsi="Times New Roman" w:eastAsia="仿宋" w:cs="仿宋"/>
          <w:bCs w:val="0"/>
          <w:smallCaps w:val="0"/>
          <w:sz w:val="32"/>
          <w:szCs w:val="32"/>
          <w:highlight w:val="none"/>
          <w:lang w:val="en-US" w:eastAsia="zh-CN"/>
        </w:rPr>
      </w:pPr>
    </w:p>
    <w:p w14:paraId="0BCD35F9">
      <w:pPr>
        <w:rPr>
          <w:rFonts w:hint="eastAsia" w:ascii="Times New Roman" w:hAnsi="Times New Roman" w:eastAsia="仿宋" w:cs="仿宋"/>
          <w:bCs w:val="0"/>
          <w:smallCaps w:val="0"/>
          <w:sz w:val="32"/>
          <w:szCs w:val="32"/>
          <w:highlight w:val="none"/>
          <w:lang w:val="en-US" w:eastAsia="zh-CN"/>
        </w:rPr>
      </w:pPr>
    </w:p>
    <w:p w14:paraId="51CA102E">
      <w:pPr>
        <w:pStyle w:val="2"/>
        <w:rPr>
          <w:rFonts w:hint="eastAsia" w:ascii="Times New Roman" w:hAnsi="Times New Roman" w:eastAsia="仿宋" w:cs="仿宋"/>
          <w:bCs w:val="0"/>
          <w:smallCaps w:val="0"/>
          <w:sz w:val="32"/>
          <w:szCs w:val="32"/>
          <w:highlight w:val="none"/>
          <w:lang w:val="en-US" w:eastAsia="zh-CN"/>
        </w:rPr>
      </w:pPr>
    </w:p>
    <w:p w14:paraId="69DB5DD0">
      <w:pPr>
        <w:rPr>
          <w:rFonts w:hint="eastAsia" w:ascii="Times New Roman" w:hAnsi="Times New Roman" w:eastAsia="仿宋" w:cs="仿宋"/>
          <w:bCs w:val="0"/>
          <w:smallCaps w:val="0"/>
          <w:sz w:val="32"/>
          <w:szCs w:val="32"/>
          <w:highlight w:val="none"/>
          <w:lang w:val="en-US" w:eastAsia="zh-CN"/>
        </w:rPr>
      </w:pPr>
    </w:p>
    <w:p w14:paraId="69BAAC56">
      <w:pPr>
        <w:pStyle w:val="2"/>
        <w:rPr>
          <w:rFonts w:hint="eastAsia" w:ascii="Times New Roman" w:hAnsi="Times New Roman"/>
          <w:smallCaps w:val="0"/>
          <w:highlight w:val="none"/>
          <w:lang w:val="en-US" w:eastAsia="zh-CN"/>
        </w:rPr>
      </w:pPr>
    </w:p>
    <w:p w14:paraId="5C966622">
      <w:pPr>
        <w:rPr>
          <w:rFonts w:hint="eastAsia" w:ascii="Times New Roman" w:hAnsi="Times New Roman"/>
          <w:smallCaps w:val="0"/>
          <w:highlight w:val="none"/>
          <w:lang w:val="en-US" w:eastAsia="zh-CN"/>
        </w:rPr>
      </w:pPr>
    </w:p>
    <w:p w14:paraId="0D7DCB5E">
      <w:pPr>
        <w:rPr>
          <w:rFonts w:hint="eastAsia" w:ascii="Times New Roman" w:hAnsi="Times New Roman"/>
          <w:smallCaps w:val="0"/>
          <w:highlight w:val="none"/>
          <w:lang w:val="en-US" w:eastAsia="zh-CN"/>
        </w:rPr>
      </w:pPr>
    </w:p>
    <w:p w14:paraId="3474D726">
      <w:pPr>
        <w:rPr>
          <w:rFonts w:hint="eastAsia" w:ascii="Times New Roman" w:hAnsi="Times New Roman"/>
          <w:smallCaps w:val="0"/>
          <w:highlight w:val="none"/>
          <w:lang w:val="en-US" w:eastAsia="zh-CN"/>
        </w:rPr>
      </w:pPr>
    </w:p>
    <w:p w14:paraId="07AA6080">
      <w:pPr>
        <w:pageBreakBefore w:val="0"/>
        <w:kinsoku/>
        <w:overflowPunct/>
        <w:topLinePunct w:val="0"/>
        <w:autoSpaceDE/>
        <w:autoSpaceDN/>
        <w:bidi w:val="0"/>
        <w:spacing w:line="560" w:lineRule="exact"/>
        <w:rPr>
          <w:rFonts w:hint="eastAsia" w:ascii="Times New Roman" w:hAnsi="Times New Roman" w:eastAsia="仿宋" w:cs="仿宋"/>
          <w:bCs w:val="0"/>
          <w:smallCaps w:val="0"/>
          <w:sz w:val="32"/>
          <w:szCs w:val="32"/>
          <w:highlight w:val="none"/>
          <w:lang w:val="zh-CN"/>
        </w:rPr>
      </w:pPr>
    </w:p>
    <w:p w14:paraId="4D4EA708">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Cs w:val="0"/>
          <w:smallCaps w:val="0"/>
          <w:sz w:val="21"/>
          <w:szCs w:val="21"/>
          <w:highlight w:val="none"/>
          <w:lang w:val="zh-CN"/>
        </w:rPr>
      </w:pPr>
      <w:bookmarkStart w:id="93" w:name="_Toc30729"/>
      <w:r>
        <w:rPr>
          <w:rFonts w:hint="eastAsia" w:ascii="Times New Roman" w:hAnsi="Times New Roman" w:eastAsia="仿宋" w:cs="仿宋"/>
          <w:bCs w:val="0"/>
          <w:smallCaps w:val="0"/>
          <w:sz w:val="21"/>
          <w:szCs w:val="21"/>
          <w:highlight w:val="none"/>
          <w:lang w:val="en-US" w:eastAsia="zh-CN"/>
        </w:rPr>
        <w:t>格</w:t>
      </w:r>
      <w:r>
        <w:rPr>
          <w:rFonts w:hint="eastAsia" w:ascii="Times New Roman" w:hAnsi="Times New Roman" w:eastAsia="仿宋" w:cs="仿宋"/>
          <w:bCs w:val="0"/>
          <w:smallCaps w:val="0"/>
          <w:sz w:val="21"/>
          <w:szCs w:val="21"/>
          <w:highlight w:val="none"/>
          <w:lang w:val="zh-CN"/>
        </w:rPr>
        <w:t>式</w:t>
      </w:r>
      <w:r>
        <w:rPr>
          <w:rFonts w:hint="eastAsia" w:ascii="Times New Roman" w:hAnsi="Times New Roman" w:eastAsia="仿宋" w:cs="仿宋"/>
          <w:bCs w:val="0"/>
          <w:smallCaps w:val="0"/>
          <w:sz w:val="21"/>
          <w:szCs w:val="21"/>
          <w:highlight w:val="none"/>
          <w:lang w:val="en-US" w:eastAsia="zh-CN"/>
        </w:rPr>
        <w:t>7</w:t>
      </w:r>
      <w:r>
        <w:rPr>
          <w:rFonts w:hint="eastAsia" w:ascii="Times New Roman" w:hAnsi="Times New Roman" w:eastAsia="仿宋" w:cs="仿宋"/>
          <w:bCs w:val="0"/>
          <w:smallCaps w:val="0"/>
          <w:sz w:val="21"/>
          <w:szCs w:val="21"/>
          <w:highlight w:val="none"/>
          <w:lang w:val="zh-CN"/>
        </w:rPr>
        <w:t>：</w:t>
      </w:r>
      <w:r>
        <w:rPr>
          <w:rFonts w:hint="eastAsia" w:ascii="Times New Roman" w:hAnsi="Times New Roman" w:eastAsia="仿宋" w:cs="仿宋"/>
          <w:bCs w:val="0"/>
          <w:smallCaps w:val="0"/>
          <w:sz w:val="21"/>
          <w:szCs w:val="21"/>
          <w:highlight w:val="none"/>
          <w:lang w:val="en-US" w:eastAsia="zh-CN"/>
        </w:rPr>
        <w:t>廉洁</w:t>
      </w:r>
      <w:r>
        <w:rPr>
          <w:rFonts w:hint="eastAsia" w:ascii="Times New Roman" w:hAnsi="Times New Roman" w:eastAsia="仿宋" w:cs="仿宋"/>
          <w:bCs w:val="0"/>
          <w:smallCaps w:val="0"/>
          <w:sz w:val="21"/>
          <w:szCs w:val="21"/>
          <w:highlight w:val="none"/>
          <w:lang w:val="zh-CN"/>
        </w:rPr>
        <w:t>承诺函</w:t>
      </w:r>
      <w:bookmarkEnd w:id="86"/>
      <w:bookmarkEnd w:id="93"/>
    </w:p>
    <w:p w14:paraId="0BFE82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mallCaps w:val="0"/>
          <w:sz w:val="40"/>
          <w:szCs w:val="40"/>
          <w:highlight w:val="none"/>
        </w:rPr>
      </w:pPr>
      <w:r>
        <w:rPr>
          <w:rFonts w:hint="eastAsia" w:ascii="Times New Roman" w:hAnsi="Times New Roman" w:eastAsia="方正小标宋简体" w:cs="方正小标宋简体"/>
          <w:b w:val="0"/>
          <w:bCs/>
          <w:smallCaps w:val="0"/>
          <w:sz w:val="40"/>
          <w:szCs w:val="40"/>
          <w:highlight w:val="none"/>
          <w:lang w:val="en-US" w:eastAsia="zh-CN"/>
        </w:rPr>
        <w:t>廉洁</w:t>
      </w:r>
      <w:r>
        <w:rPr>
          <w:rFonts w:hint="eastAsia" w:ascii="Times New Roman" w:hAnsi="Times New Roman" w:eastAsia="方正小标宋简体" w:cs="方正小标宋简体"/>
          <w:b w:val="0"/>
          <w:bCs/>
          <w:smallCaps w:val="0"/>
          <w:sz w:val="40"/>
          <w:szCs w:val="40"/>
          <w:highlight w:val="none"/>
        </w:rPr>
        <w:t>承诺函</w:t>
      </w:r>
    </w:p>
    <w:p w14:paraId="7A944DA3">
      <w:pPr>
        <w:keepNext w:val="0"/>
        <w:keepLines w:val="0"/>
        <w:pageBreakBefore w:val="0"/>
        <w:widowControl/>
        <w:kinsoku/>
        <w:wordWrap/>
        <w:overflowPunct/>
        <w:topLinePunct w:val="0"/>
        <w:autoSpaceDE/>
        <w:autoSpaceDN/>
        <w:bidi w:val="0"/>
        <w:adjustRightInd/>
        <w:snapToGrid/>
        <w:spacing w:line="560" w:lineRule="exact"/>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致 深圳市鹏劳人力资源管理有限公司：</w:t>
      </w:r>
    </w:p>
    <w:p w14:paraId="13D8645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我司有意参与贵司【</w:t>
      </w:r>
      <w:r>
        <w:rPr>
          <w:rFonts w:hint="eastAsia" w:ascii="仿宋_GB2312" w:hAnsi="仿宋_GB2312" w:eastAsia="仿宋_GB2312" w:cs="仿宋_GB2312"/>
          <w:bCs/>
          <w:smallCaps w:val="0"/>
          <w:sz w:val="24"/>
          <w:szCs w:val="24"/>
          <w:highlight w:val="none"/>
          <w:u w:val="single"/>
        </w:rPr>
        <w:t>项目名称</w:t>
      </w:r>
      <w:r>
        <w:rPr>
          <w:rFonts w:hint="eastAsia" w:ascii="仿宋_GB2312" w:hAnsi="仿宋_GB2312" w:eastAsia="仿宋_GB2312" w:cs="仿宋_GB2312"/>
          <w:bCs/>
          <w:smallCaps w:val="0"/>
          <w:sz w:val="24"/>
          <w:szCs w:val="24"/>
          <w:highlight w:val="none"/>
        </w:rPr>
        <w:t>】投标，为保证招投标工作的公平公正及充分竞争，在此，我司郑重承诺如下：</w:t>
      </w:r>
    </w:p>
    <w:p w14:paraId="0C0093EA">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Times New Roman" w:hAnsi="Times New Roman" w:eastAsia="仿宋_GB2312" w:cs="仿宋"/>
          <w:bCs/>
          <w:smallCaps w:val="0"/>
          <w:sz w:val="24"/>
          <w:szCs w:val="24"/>
          <w:highlight w:val="none"/>
        </w:rPr>
        <w:t>一、我司承诺在投标过程中对于如下行为坚决抵制并向贵司及时通报：</w:t>
      </w:r>
    </w:p>
    <w:p w14:paraId="5FB99F31">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1.招标人或招标相关单位人员利用职务上的便利，自行或通过他人向我司推荐供应商（分包商）；</w:t>
      </w:r>
    </w:p>
    <w:p w14:paraId="299AAE8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2.其他投标参与方自行或委托他人私下与我司联系串通投标事宜；</w:t>
      </w:r>
    </w:p>
    <w:p w14:paraId="01D30DDE">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3.招标人、及招标相关单位的人员在招标投标过程中，人为设置障碍，索要或暗示索要现金、股票、股权、各种有价证券、支付凭证或贵重物品等。</w:t>
      </w:r>
    </w:p>
    <w:p w14:paraId="75CC7A75">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二、我司承诺依法合规参与本项目竞争，严格本公司投标代表及相关员工管理，具体内容如下：</w:t>
      </w:r>
    </w:p>
    <w:p w14:paraId="5E0E3113">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1.我司不会以任何理由任何方式进行串通投标等不正当竞争的违法违规行为；</w:t>
      </w:r>
    </w:p>
    <w:p w14:paraId="20A0C9E2">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2.我司或我司员工不以任何理由任何方式，向贵司、及招标相关单位的人员赠送现金、股票、股权、各种有价证券、支付凭证或贵重物品等；</w:t>
      </w:r>
    </w:p>
    <w:p w14:paraId="2294221D">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3.我司或我司员工不以任何理由任何方式，向贵司、及招标相关单位的人员发出健身、娱乐活动的邀请，或对贵司及招标相关单位的人员进行超标准接待；</w:t>
      </w:r>
    </w:p>
    <w:p w14:paraId="22E9AE5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4.参与贵司项目投标及与投标相关的交流调研过程中，我司保证向贵司所提供信息的真实性和准确性，且不会将拟投标项目进行任何形式的转包或挂靠。</w:t>
      </w:r>
    </w:p>
    <w:p w14:paraId="55319A3D">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5.参与贵司招标项目投标过程中，我司承诺所有招标相关信息交流在工作场所公开进行，文件传递应通过公司传真或工作邮箱。不私下打探招标项目非公开信息（如其他投标人信息、标底详细信息、评标专家信息、评标过程信息等），不与贵司、及招标相关单位的人员就招标相关信息进行私下商谈或者达成利益默契。</w:t>
      </w:r>
    </w:p>
    <w:p w14:paraId="2879C708">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6.我司及我司派出的投标代表及工作人员授权贵司对本项目下我司投标工作进行监督，在贵司办公场所内合理使用包括录音录像、派员监督等手段开展监督工作。</w:t>
      </w:r>
    </w:p>
    <w:p w14:paraId="7B91C4D1">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7.如果我司中标，将严格遵照本项目招标文件需求、投标承诺及合同约定做到诚信履约，为贵司提供最优服务；</w:t>
      </w:r>
    </w:p>
    <w:p w14:paraId="2B4B7214">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仿宋_GB2312" w:hAnsi="仿宋_GB2312" w:eastAsia="仿宋_GB2312" w:cs="仿宋_GB2312"/>
          <w:bCs/>
          <w:smallCaps w:val="0"/>
          <w:sz w:val="24"/>
          <w:szCs w:val="24"/>
          <w:highlight w:val="none"/>
        </w:rPr>
        <w:t>8.</w:t>
      </w:r>
      <w:r>
        <w:rPr>
          <w:rFonts w:hint="eastAsia" w:ascii="Times New Roman" w:hAnsi="Times New Roman" w:eastAsia="仿宋_GB2312" w:cs="仿宋"/>
          <w:bCs/>
          <w:smallCaps w:val="0"/>
          <w:sz w:val="24"/>
          <w:szCs w:val="24"/>
          <w:highlight w:val="none"/>
        </w:rPr>
        <w:t>我司已认真核实了投标文件的全部资料，所有资料均为真实资料。我公司对投标文件中全部投标资料的真实性负责。</w:t>
      </w:r>
    </w:p>
    <w:p w14:paraId="51B91C2F">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Times New Roman" w:hAnsi="Times New Roman" w:eastAsia="仿宋_GB2312" w:cs="仿宋"/>
          <w:bCs/>
          <w:smallCaps w:val="0"/>
          <w:sz w:val="24"/>
          <w:szCs w:val="24"/>
          <w:highlight w:val="none"/>
        </w:rPr>
        <w:t>以上承诺，如有违反，我司将配合贵司进行调查和严肃处理，并自行承担不能参与本项目投标或承包本项目的资格、以及今后可能不能参加贵司其他项目的投标、无法进入贵司供应商库等一切不利后果，并承担由此给贵司带来的损失。</w:t>
      </w:r>
    </w:p>
    <w:p w14:paraId="3E21BACE">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1E50D2C1">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1D51BC8A">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507F2C6E">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590A7DAB">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rPr>
      </w:pPr>
      <w:r>
        <w:rPr>
          <w:rFonts w:hint="eastAsia" w:ascii="Times New Roman" w:hAnsi="Times New Roman" w:eastAsia="仿宋" w:cs="仿宋"/>
          <w:b/>
          <w:smallCaps w:val="0"/>
          <w:kern w:val="0"/>
          <w:sz w:val="24"/>
          <w:szCs w:val="24"/>
          <w:highlight w:val="none"/>
          <w:lang w:eastAsia="zh-CN"/>
        </w:rPr>
        <w:t>投标人</w:t>
      </w:r>
      <w:r>
        <w:rPr>
          <w:rFonts w:hint="eastAsia" w:ascii="Times New Roman" w:hAnsi="Times New Roman" w:eastAsia="仿宋" w:cs="仿宋"/>
          <w:b/>
          <w:smallCaps w:val="0"/>
          <w:kern w:val="0"/>
          <w:sz w:val="24"/>
          <w:szCs w:val="24"/>
          <w:highlight w:val="none"/>
        </w:rPr>
        <w:t>名称（公章）：</w:t>
      </w:r>
    </w:p>
    <w:p w14:paraId="23580CCC">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rPr>
      </w:pPr>
      <w:r>
        <w:rPr>
          <w:rFonts w:hint="eastAsia" w:ascii="Times New Roman" w:hAnsi="Times New Roman" w:eastAsia="仿宋" w:cs="仿宋"/>
          <w:b/>
          <w:smallCaps w:val="0"/>
          <w:kern w:val="0"/>
          <w:sz w:val="24"/>
          <w:szCs w:val="24"/>
          <w:highlight w:val="none"/>
        </w:rPr>
        <w:t>法定代表人（法定授权代表人）签名：</w:t>
      </w:r>
    </w:p>
    <w:p w14:paraId="54C6F5B8">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sz w:val="24"/>
          <w:szCs w:val="24"/>
          <w:highlight w:val="none"/>
        </w:rPr>
      </w:pPr>
      <w:r>
        <w:rPr>
          <w:rFonts w:hint="eastAsia" w:ascii="Times New Roman" w:hAnsi="Times New Roman" w:eastAsia="仿宋" w:cs="仿宋"/>
          <w:b/>
          <w:smallCaps w:val="0"/>
          <w:kern w:val="0"/>
          <w:sz w:val="24"/>
          <w:szCs w:val="24"/>
          <w:highlight w:val="none"/>
        </w:rPr>
        <w:t>日期：</w:t>
      </w:r>
    </w:p>
    <w:sectPr>
      <w:headerReference r:id="rId7" w:type="default"/>
      <w:footerReference r:id="rId8" w:type="default"/>
      <w:pgSz w:w="11906" w:h="16838"/>
      <w:pgMar w:top="1440" w:right="1274" w:bottom="1135" w:left="1418" w:header="851" w:footer="274"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65CA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63F1">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1B1E7">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BD1B1E7">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C37B">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15248">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5A15248">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77E7">
    <w:pPr>
      <w:pStyle w:val="11"/>
      <w:tabs>
        <w:tab w:val="left" w:pos="323"/>
      </w:tabs>
      <w:jc w:val="right"/>
      <w:rPr>
        <w:rFonts w:hint="default" w:asciiTheme="minorEastAsia" w:hAnsiTheme="minorEastAsia" w:eastAsiaTheme="minorEastAsia"/>
        <w:b/>
        <w:sz w:val="20"/>
        <w:lang w:val="en-US" w:eastAsia="zh-CN"/>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701800" cy="202565"/>
          <wp:effectExtent l="0" t="0" r="12700" b="6985"/>
          <wp:wrapNone/>
          <wp:docPr id="1"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tab/>
    </w:r>
    <w:r>
      <w:tab/>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PLHR-ZB-FW-202</w:t>
    </w:r>
    <w:r>
      <w:rPr>
        <w:rFonts w:hint="eastAsia" w:asciiTheme="minorEastAsia" w:hAnsiTheme="minorEastAsia" w:eastAsiaTheme="minorEastAsia"/>
        <w:b/>
        <w:sz w:val="20"/>
        <w:lang w:val="en-US" w:eastAsia="zh-CN"/>
      </w:rPr>
      <w:t>407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18C0">
    <w:pPr>
      <w:pStyle w:val="11"/>
      <w:jc w:val="right"/>
      <w:rPr>
        <w:rFonts w:hint="default" w:ascii="宋体" w:hAnsi="宋体" w:eastAsia="宋体" w:cs="宋体"/>
        <w:b/>
        <w:bCs/>
        <w:sz w:val="21"/>
        <w:szCs w:val="21"/>
        <w:lang w:val="en-US" w:eastAsia="zh-CN"/>
      </w:rPr>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-95250</wp:posOffset>
          </wp:positionV>
          <wp:extent cx="1704975" cy="200025"/>
          <wp:effectExtent l="0" t="0" r="9525" b="9525"/>
          <wp:wrapNone/>
          <wp:docPr id="2"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4975" cy="200025"/>
                  </a:xfrm>
                  <a:prstGeom prst="rect">
                    <a:avLst/>
                  </a:prstGeom>
                  <a:noFill/>
                  <a:ln>
                    <a:noFill/>
                  </a:ln>
                </pic:spPr>
              </pic:pic>
            </a:graphicData>
          </a:graphic>
        </wp:anchor>
      </w:drawing>
    </w:r>
    <w:r>
      <w:rPr>
        <w:rFonts w:hint="eastAsia"/>
      </w:rPr>
      <w:t xml:space="preserve">                                                                  </w:t>
    </w:r>
    <w:r>
      <w:rPr>
        <w:rFonts w:hint="eastAsia" w:ascii="宋体" w:hAnsi="宋体" w:eastAsia="宋体" w:cs="宋体"/>
        <w:b/>
        <w:bCs/>
        <w:lang w:val="en-US" w:eastAsia="zh-CN"/>
      </w:rPr>
      <w:t>PLHR-ZB-FW-202</w:t>
    </w:r>
    <w:r>
      <w:rPr>
        <w:rFonts w:hint="eastAsia" w:ascii="宋体" w:hAnsi="宋体" w:cs="宋体"/>
        <w:b/>
        <w:bCs/>
        <w:lang w:val="en-US" w:eastAsia="zh-CN"/>
      </w:rPr>
      <w:t>407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EA93">
    <w:pPr>
      <w:pStyle w:val="11"/>
      <w:tabs>
        <w:tab w:val="left" w:pos="323"/>
      </w:tabs>
      <w:jc w:val="right"/>
      <w:rPr>
        <w:rFonts w:hint="default" w:asciiTheme="minorEastAsia" w:hAnsiTheme="minorEastAsia" w:eastAsiaTheme="minorEastAsia"/>
        <w:b/>
        <w:lang w:val="en-US" w:eastAsia="zh-CN"/>
      </w:rPr>
    </w:pPr>
    <w:r>
      <w:rPr>
        <w:rFonts w:ascii="宋体" w:hAnsi="宋体"/>
      </w:rPr>
      <w:drawing>
        <wp:anchor distT="0" distB="0" distL="114300" distR="114300" simplePos="0" relativeHeight="251663360" behindDoc="0" locked="0" layoutInCell="1" allowOverlap="1">
          <wp:simplePos x="0" y="0"/>
          <wp:positionH relativeFrom="column">
            <wp:posOffset>52070</wp:posOffset>
          </wp:positionH>
          <wp:positionV relativeFrom="paragraph">
            <wp:posOffset>-121285</wp:posOffset>
          </wp:positionV>
          <wp:extent cx="1701800" cy="202565"/>
          <wp:effectExtent l="19050" t="0" r="0" b="0"/>
          <wp:wrapNone/>
          <wp:docPr id="3"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rPr>
        <w:rFonts w:hint="eastAsia" w:ascii="宋体" w:hAnsi="宋体"/>
      </w:rPr>
      <w:t xml:space="preserve">                                                                      </w:t>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PLHR-ZB-FW-202</w:t>
    </w:r>
    <w:r>
      <w:rPr>
        <w:rFonts w:hint="eastAsia" w:asciiTheme="minorEastAsia" w:hAnsiTheme="minorEastAsia" w:eastAsiaTheme="minorEastAsia"/>
        <w:b/>
        <w:sz w:val="20"/>
        <w:lang w:val="en-US" w:eastAsia="zh-CN"/>
      </w:rPr>
      <w:t>407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B08D5"/>
    <w:multiLevelType w:val="singleLevel"/>
    <w:tmpl w:val="864B08D5"/>
    <w:lvl w:ilvl="0" w:tentative="0">
      <w:start w:val="2"/>
      <w:numFmt w:val="chineseCounting"/>
      <w:suff w:val="nothing"/>
      <w:lvlText w:val="（%1）"/>
      <w:lvlJc w:val="left"/>
      <w:pPr>
        <w:tabs>
          <w:tab w:val="left" w:pos="0"/>
        </w:tabs>
      </w:pPr>
      <w:rPr>
        <w:rFonts w:hint="eastAsia" w:ascii="楷体_GB2312" w:hAnsi="楷体_GB2312" w:eastAsia="楷体_GB2312" w:cs="楷体_GB2312"/>
        <w:sz w:val="32"/>
        <w:szCs w:val="32"/>
      </w:rPr>
    </w:lvl>
  </w:abstractNum>
  <w:abstractNum w:abstractNumId="1">
    <w:nsid w:val="8D057916"/>
    <w:multiLevelType w:val="singleLevel"/>
    <w:tmpl w:val="8D057916"/>
    <w:lvl w:ilvl="0" w:tentative="0">
      <w:start w:val="3"/>
      <w:numFmt w:val="chineseCounting"/>
      <w:suff w:val="space"/>
      <w:lvlText w:val="第%1章"/>
      <w:lvlJc w:val="left"/>
      <w:rPr>
        <w:rFonts w:hint="eastAsia" w:ascii="黑体" w:hAnsi="黑体" w:eastAsia="黑体" w:cs="黑体"/>
        <w:sz w:val="32"/>
        <w:szCs w:val="32"/>
      </w:rPr>
    </w:lvl>
  </w:abstractNum>
  <w:abstractNum w:abstractNumId="2">
    <w:nsid w:val="A2E92810"/>
    <w:multiLevelType w:val="singleLevel"/>
    <w:tmpl w:val="A2E92810"/>
    <w:lvl w:ilvl="0" w:tentative="0">
      <w:start w:val="1"/>
      <w:numFmt w:val="decimal"/>
      <w:lvlText w:val="%1."/>
      <w:lvlJc w:val="left"/>
      <w:pPr>
        <w:tabs>
          <w:tab w:val="left" w:pos="312"/>
        </w:tabs>
      </w:pPr>
    </w:lvl>
  </w:abstractNum>
  <w:abstractNum w:abstractNumId="3">
    <w:nsid w:val="C828A124"/>
    <w:multiLevelType w:val="singleLevel"/>
    <w:tmpl w:val="C828A124"/>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4">
    <w:nsid w:val="E3507803"/>
    <w:multiLevelType w:val="singleLevel"/>
    <w:tmpl w:val="E350780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5">
    <w:nsid w:val="EF63AE51"/>
    <w:multiLevelType w:val="singleLevel"/>
    <w:tmpl w:val="EF63AE51"/>
    <w:lvl w:ilvl="0" w:tentative="0">
      <w:start w:val="1"/>
      <w:numFmt w:val="chineseCounting"/>
      <w:suff w:val="nothing"/>
      <w:lvlText w:val="%1、"/>
      <w:lvlJc w:val="left"/>
      <w:pPr>
        <w:ind w:left="0" w:firstLine="420"/>
      </w:pPr>
      <w:rPr>
        <w:rFonts w:hint="eastAsia"/>
      </w:rPr>
    </w:lvl>
  </w:abstractNum>
  <w:abstractNum w:abstractNumId="6">
    <w:nsid w:val="F9580FDD"/>
    <w:multiLevelType w:val="singleLevel"/>
    <w:tmpl w:val="F9580FDD"/>
    <w:lvl w:ilvl="0" w:tentative="0">
      <w:start w:val="1"/>
      <w:numFmt w:val="decimal"/>
      <w:suff w:val="nothing"/>
      <w:lvlText w:val="%1."/>
      <w:lvlJc w:val="left"/>
      <w:pPr>
        <w:ind w:left="425" w:hanging="425"/>
      </w:pPr>
      <w:rPr>
        <w:rFonts w:hint="default"/>
      </w:rPr>
    </w:lvl>
  </w:abstractNum>
  <w:abstractNum w:abstractNumId="7">
    <w:nsid w:val="1E0AF197"/>
    <w:multiLevelType w:val="singleLevel"/>
    <w:tmpl w:val="1E0AF19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45BA3ED7"/>
    <w:multiLevelType w:val="singleLevel"/>
    <w:tmpl w:val="45BA3ED7"/>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9">
    <w:nsid w:val="5D4A65CC"/>
    <w:multiLevelType w:val="singleLevel"/>
    <w:tmpl w:val="5D4A65CC"/>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0">
    <w:nsid w:val="7345CAEC"/>
    <w:multiLevelType w:val="singleLevel"/>
    <w:tmpl w:val="7345CAEC"/>
    <w:lvl w:ilvl="0" w:tentative="0">
      <w:start w:val="1"/>
      <w:numFmt w:val="decimal"/>
      <w:suff w:val="nothing"/>
      <w:lvlText w:val="%1．"/>
      <w:lvlJc w:val="left"/>
      <w:pPr>
        <w:ind w:left="0" w:firstLine="400"/>
      </w:pPr>
      <w:rPr>
        <w:rFonts w:hint="default" w:ascii="仿宋" w:hAnsi="仿宋" w:eastAsia="仿宋" w:cs="仿宋"/>
      </w:rPr>
    </w:lvl>
  </w:abstractNum>
  <w:abstractNum w:abstractNumId="11">
    <w:nsid w:val="7BFEC1B2"/>
    <w:multiLevelType w:val="singleLevel"/>
    <w:tmpl w:val="7BFEC1B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3"/>
  </w:num>
  <w:num w:numId="2">
    <w:abstractNumId w:val="4"/>
  </w:num>
  <w:num w:numId="3">
    <w:abstractNumId w:val="2"/>
  </w:num>
  <w:num w:numId="4">
    <w:abstractNumId w:val="11"/>
  </w:num>
  <w:num w:numId="5">
    <w:abstractNumId w:val="0"/>
  </w:num>
  <w:num w:numId="6">
    <w:abstractNumId w:val="7"/>
  </w:num>
  <w:num w:numId="7">
    <w:abstractNumId w:val="1"/>
  </w:num>
  <w:num w:numId="8">
    <w:abstractNumId w:val="5"/>
  </w:num>
  <w:num w:numId="9">
    <w:abstractNumId w:val="1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2FhMDM0M2U5OGQ2ODA4NWZmYmM5MzU0ZjJmNjMifQ=="/>
  </w:docVars>
  <w:rsids>
    <w:rsidRoot w:val="54D5111E"/>
    <w:rsid w:val="004F4E3B"/>
    <w:rsid w:val="00596DC2"/>
    <w:rsid w:val="00780429"/>
    <w:rsid w:val="007A3BED"/>
    <w:rsid w:val="00B61DCC"/>
    <w:rsid w:val="00B71F65"/>
    <w:rsid w:val="00D249C2"/>
    <w:rsid w:val="011C079C"/>
    <w:rsid w:val="021518E3"/>
    <w:rsid w:val="023267E6"/>
    <w:rsid w:val="0377167F"/>
    <w:rsid w:val="06996401"/>
    <w:rsid w:val="0A47511D"/>
    <w:rsid w:val="0AA43652"/>
    <w:rsid w:val="0B0667E4"/>
    <w:rsid w:val="0B1C1901"/>
    <w:rsid w:val="0BF876D6"/>
    <w:rsid w:val="0C474AE5"/>
    <w:rsid w:val="0E6D1D7A"/>
    <w:rsid w:val="0EF46860"/>
    <w:rsid w:val="0FA80D1D"/>
    <w:rsid w:val="104840C6"/>
    <w:rsid w:val="1061296D"/>
    <w:rsid w:val="11540454"/>
    <w:rsid w:val="11FC12FC"/>
    <w:rsid w:val="14844E6E"/>
    <w:rsid w:val="15004E24"/>
    <w:rsid w:val="151F4689"/>
    <w:rsid w:val="1532320F"/>
    <w:rsid w:val="162C51BF"/>
    <w:rsid w:val="16D042DD"/>
    <w:rsid w:val="17441C6B"/>
    <w:rsid w:val="18695096"/>
    <w:rsid w:val="18EA3108"/>
    <w:rsid w:val="18EC6C42"/>
    <w:rsid w:val="19066D08"/>
    <w:rsid w:val="19741246"/>
    <w:rsid w:val="19E738FF"/>
    <w:rsid w:val="19F56E1C"/>
    <w:rsid w:val="1B7347CD"/>
    <w:rsid w:val="1BCE28BC"/>
    <w:rsid w:val="1CDD1759"/>
    <w:rsid w:val="1E3556EC"/>
    <w:rsid w:val="1E3B1FCF"/>
    <w:rsid w:val="1F4B2D15"/>
    <w:rsid w:val="1FC23F2E"/>
    <w:rsid w:val="209A29A9"/>
    <w:rsid w:val="211B7FF0"/>
    <w:rsid w:val="22E35977"/>
    <w:rsid w:val="22EA5F0F"/>
    <w:rsid w:val="25232865"/>
    <w:rsid w:val="2524556B"/>
    <w:rsid w:val="253E70C7"/>
    <w:rsid w:val="25D95F7D"/>
    <w:rsid w:val="262D044F"/>
    <w:rsid w:val="266D115F"/>
    <w:rsid w:val="271E423C"/>
    <w:rsid w:val="27734588"/>
    <w:rsid w:val="27A6555F"/>
    <w:rsid w:val="27D1591C"/>
    <w:rsid w:val="28037CAD"/>
    <w:rsid w:val="2A385615"/>
    <w:rsid w:val="2AB2053C"/>
    <w:rsid w:val="2B483082"/>
    <w:rsid w:val="2B6856E5"/>
    <w:rsid w:val="2BA51B7B"/>
    <w:rsid w:val="2BB10F01"/>
    <w:rsid w:val="2D13235D"/>
    <w:rsid w:val="2E157B6E"/>
    <w:rsid w:val="2F327322"/>
    <w:rsid w:val="303B15E4"/>
    <w:rsid w:val="30915FA1"/>
    <w:rsid w:val="30AD6B0E"/>
    <w:rsid w:val="313E1D96"/>
    <w:rsid w:val="3212745D"/>
    <w:rsid w:val="34771C85"/>
    <w:rsid w:val="36217364"/>
    <w:rsid w:val="368E7C0F"/>
    <w:rsid w:val="378B48FB"/>
    <w:rsid w:val="37B97E31"/>
    <w:rsid w:val="38462317"/>
    <w:rsid w:val="3972236C"/>
    <w:rsid w:val="3ADA6F7F"/>
    <w:rsid w:val="3C8C2B8B"/>
    <w:rsid w:val="3CC05722"/>
    <w:rsid w:val="3CD0472B"/>
    <w:rsid w:val="3CFB0E50"/>
    <w:rsid w:val="3D356C6B"/>
    <w:rsid w:val="3DA86C84"/>
    <w:rsid w:val="3EF3039C"/>
    <w:rsid w:val="3F9E7736"/>
    <w:rsid w:val="40603EF4"/>
    <w:rsid w:val="42102F28"/>
    <w:rsid w:val="42665D63"/>
    <w:rsid w:val="442237E4"/>
    <w:rsid w:val="444E4946"/>
    <w:rsid w:val="446E1EBF"/>
    <w:rsid w:val="451163D6"/>
    <w:rsid w:val="45702CAD"/>
    <w:rsid w:val="464060FB"/>
    <w:rsid w:val="482B7710"/>
    <w:rsid w:val="48825F81"/>
    <w:rsid w:val="48F246AF"/>
    <w:rsid w:val="491D2636"/>
    <w:rsid w:val="4A204B0B"/>
    <w:rsid w:val="4AF646D8"/>
    <w:rsid w:val="4CEC3B57"/>
    <w:rsid w:val="4E7F3FFB"/>
    <w:rsid w:val="4FFB5C91"/>
    <w:rsid w:val="503569BD"/>
    <w:rsid w:val="50D448C3"/>
    <w:rsid w:val="53806410"/>
    <w:rsid w:val="54690411"/>
    <w:rsid w:val="54D5111E"/>
    <w:rsid w:val="55080000"/>
    <w:rsid w:val="55CE57CA"/>
    <w:rsid w:val="56CF0295"/>
    <w:rsid w:val="57816E0F"/>
    <w:rsid w:val="588A6436"/>
    <w:rsid w:val="59BD4EBB"/>
    <w:rsid w:val="5A7A73EE"/>
    <w:rsid w:val="5BC56459"/>
    <w:rsid w:val="5C5D10A2"/>
    <w:rsid w:val="5C741C2D"/>
    <w:rsid w:val="5CE81550"/>
    <w:rsid w:val="5D0E58F9"/>
    <w:rsid w:val="5D1076B3"/>
    <w:rsid w:val="5DB474E2"/>
    <w:rsid w:val="5E8F3C69"/>
    <w:rsid w:val="5FF74A9D"/>
    <w:rsid w:val="601975C1"/>
    <w:rsid w:val="60646C21"/>
    <w:rsid w:val="610B58E7"/>
    <w:rsid w:val="616C398A"/>
    <w:rsid w:val="622E5D25"/>
    <w:rsid w:val="62DD6477"/>
    <w:rsid w:val="62ED51EE"/>
    <w:rsid w:val="63A212F2"/>
    <w:rsid w:val="63D35E78"/>
    <w:rsid w:val="64E9706B"/>
    <w:rsid w:val="65EA240F"/>
    <w:rsid w:val="662A1B70"/>
    <w:rsid w:val="670F4BFF"/>
    <w:rsid w:val="69B04E15"/>
    <w:rsid w:val="6B4D2517"/>
    <w:rsid w:val="6BDF5356"/>
    <w:rsid w:val="6C9F75C6"/>
    <w:rsid w:val="6E0B7B92"/>
    <w:rsid w:val="6E4D6016"/>
    <w:rsid w:val="6E867C1A"/>
    <w:rsid w:val="6E9973A4"/>
    <w:rsid w:val="6ED23F99"/>
    <w:rsid w:val="70B27DFF"/>
    <w:rsid w:val="70EA0CDA"/>
    <w:rsid w:val="72EE4600"/>
    <w:rsid w:val="73730A1E"/>
    <w:rsid w:val="74401BBD"/>
    <w:rsid w:val="74780551"/>
    <w:rsid w:val="74E462FB"/>
    <w:rsid w:val="76E52A6D"/>
    <w:rsid w:val="774C4260"/>
    <w:rsid w:val="77DA3C2E"/>
    <w:rsid w:val="77FC779F"/>
    <w:rsid w:val="78007FBD"/>
    <w:rsid w:val="78425F77"/>
    <w:rsid w:val="79A92DE5"/>
    <w:rsid w:val="7A990D85"/>
    <w:rsid w:val="7BAD04FE"/>
    <w:rsid w:val="7C624616"/>
    <w:rsid w:val="7C67749B"/>
    <w:rsid w:val="7DF10ED8"/>
    <w:rsid w:val="7F3F690D"/>
    <w:rsid w:val="7FC248DA"/>
    <w:rsid w:val="7FCA2872"/>
    <w:rsid w:val="BFF205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ind w:firstLine="200" w:firstLineChars="200"/>
      <w:outlineLvl w:val="2"/>
    </w:pPr>
    <w:rPr>
      <w:rFonts w:ascii="宋体" w:hAnsi="Times New Roman" w:eastAsia="宋体" w:cs="Times New Roman"/>
      <w:b/>
      <w:bCs/>
      <w:kern w:val="0"/>
      <w:sz w:val="28"/>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qFormat/>
    <w:uiPriority w:val="0"/>
    <w:pPr>
      <w:spacing w:line="400" w:lineRule="exact"/>
      <w:ind w:firstLine="200" w:firstLineChars="200"/>
      <w:contextualSpacing/>
    </w:pPr>
    <w:rPr>
      <w:rFonts w:ascii="宋体" w:hAnsi="Courier New" w:eastAsia="宋体" w:cs="Times New Roman"/>
      <w:kern w:val="0"/>
      <w:sz w:val="24"/>
      <w:szCs w:val="20"/>
    </w:rPr>
  </w:style>
  <w:style w:type="paragraph" w:styleId="9">
    <w:name w:val="Balloon Text"/>
    <w:basedOn w:val="1"/>
    <w:link w:val="29"/>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2">
    <w:name w:val="toc 1"/>
    <w:basedOn w:val="1"/>
    <w:next w:val="1"/>
    <w:qFormat/>
    <w:uiPriority w:val="39"/>
    <w:pPr>
      <w:tabs>
        <w:tab w:val="right" w:leader="dot" w:pos="8295"/>
      </w:tabs>
      <w:spacing w:before="120" w:after="120" w:line="360" w:lineRule="auto"/>
      <w:ind w:firstLine="207" w:firstLineChars="98"/>
      <w:jc w:val="left"/>
    </w:pPr>
    <w:rPr>
      <w:rFonts w:ascii="宋体" w:hAnsi="宋体" w:eastAsia="宋体" w:cs="Times New Roman"/>
      <w:b/>
      <w:bCs/>
      <w:caps/>
      <w:kern w:val="0"/>
      <w:szCs w:val="21"/>
    </w:rPr>
  </w:style>
  <w:style w:type="paragraph" w:styleId="13">
    <w:name w:val="Subtitle"/>
    <w:basedOn w:val="1"/>
    <w:next w:val="1"/>
    <w:qFormat/>
    <w:uiPriority w:val="0"/>
    <w:pPr>
      <w:spacing w:before="240" w:after="60" w:line="312" w:lineRule="auto"/>
      <w:ind w:firstLine="360" w:firstLineChars="360"/>
      <w:jc w:val="center"/>
      <w:outlineLvl w:val="1"/>
    </w:pPr>
    <w:rPr>
      <w:rFonts w:ascii="Cambria" w:hAnsi="Cambria" w:eastAsia="宋体" w:cs="Times New Roman"/>
      <w:b/>
      <w:bCs/>
      <w:kern w:val="28"/>
      <w:sz w:val="32"/>
      <w:szCs w:val="32"/>
    </w:rPr>
  </w:style>
  <w:style w:type="paragraph" w:styleId="14">
    <w:name w:val="toc 2"/>
    <w:basedOn w:val="1"/>
    <w:next w:val="1"/>
    <w:qFormat/>
    <w:uiPriority w:val="39"/>
    <w:pPr>
      <w:tabs>
        <w:tab w:val="right" w:leader="dot" w:pos="8295"/>
      </w:tabs>
      <w:spacing w:line="360" w:lineRule="auto"/>
      <w:ind w:left="210"/>
      <w:jc w:val="left"/>
    </w:pPr>
    <w:rPr>
      <w:rFonts w:ascii="宋体" w:hAnsi="宋体" w:eastAsia="宋体" w:cs="Times New Roman"/>
      <w:b/>
      <w:smallCap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paragraph" w:styleId="19">
    <w:name w:val="List Paragraph"/>
    <w:basedOn w:val="1"/>
    <w:qFormat/>
    <w:uiPriority w:val="0"/>
    <w:pPr>
      <w:ind w:firstLine="420" w:firstLineChars="200"/>
    </w:pPr>
    <w:rPr>
      <w:rFonts w:ascii="Calibri" w:hAnsi="Calibri" w:eastAsia="宋体" w:cs="Times New Roman"/>
      <w:kern w:val="0"/>
      <w:sz w:val="20"/>
      <w:szCs w:val="20"/>
    </w:rPr>
  </w:style>
  <w:style w:type="character" w:customStyle="1" w:styleId="20">
    <w:name w:val="标题1"/>
    <w:qFormat/>
    <w:uiPriority w:val="0"/>
  </w:style>
  <w:style w:type="paragraph" w:customStyle="1" w:styleId="21">
    <w:name w:val="1"/>
    <w:basedOn w:val="1"/>
    <w:qFormat/>
    <w:uiPriority w:val="0"/>
    <w:pPr>
      <w:spacing w:beforeLines="50" w:afterLines="50"/>
    </w:pPr>
    <w:rPr>
      <w:rFonts w:ascii="微软雅黑" w:hAnsi="微软雅黑" w:eastAsia="微软雅黑"/>
      <w:b/>
      <w:sz w:val="18"/>
      <w:szCs w:val="18"/>
    </w:rPr>
  </w:style>
  <w:style w:type="paragraph" w:customStyle="1" w:styleId="22">
    <w:name w:val="Default Text"/>
    <w:basedOn w:val="1"/>
    <w:qFormat/>
    <w:uiPriority w:val="0"/>
    <w:pPr>
      <w:autoSpaceDE w:val="0"/>
      <w:autoSpaceDN w:val="0"/>
      <w:adjustRightInd w:val="0"/>
      <w:jc w:val="left"/>
    </w:pPr>
    <w:rPr>
      <w:kern w:val="0"/>
      <w:sz w:val="24"/>
      <w:szCs w:val="24"/>
    </w:rPr>
  </w:style>
  <w:style w:type="character" w:customStyle="1" w:styleId="23">
    <w:name w:val="font21"/>
    <w:basedOn w:val="17"/>
    <w:qFormat/>
    <w:uiPriority w:val="0"/>
    <w:rPr>
      <w:rFonts w:hint="default" w:ascii="Arial" w:hAnsi="Arial" w:cs="Arial"/>
      <w:color w:val="000000"/>
      <w:sz w:val="18"/>
      <w:szCs w:val="18"/>
      <w:u w:val="none"/>
    </w:rPr>
  </w:style>
  <w:style w:type="character" w:customStyle="1" w:styleId="24">
    <w:name w:val="font41"/>
    <w:basedOn w:val="17"/>
    <w:qFormat/>
    <w:uiPriority w:val="0"/>
    <w:rPr>
      <w:rFonts w:hint="eastAsia" w:ascii="宋体" w:hAnsi="宋体" w:eastAsia="宋体" w:cs="宋体"/>
      <w:color w:val="000000"/>
      <w:sz w:val="18"/>
      <w:szCs w:val="18"/>
      <w:u w:val="none"/>
    </w:rPr>
  </w:style>
  <w:style w:type="character" w:customStyle="1" w:styleId="25">
    <w:name w:val="font11"/>
    <w:basedOn w:val="17"/>
    <w:qFormat/>
    <w:uiPriority w:val="0"/>
    <w:rPr>
      <w:rFonts w:ascii="Arial" w:hAnsi="Arial" w:cs="Arial"/>
      <w:color w:val="000000"/>
      <w:sz w:val="18"/>
      <w:szCs w:val="18"/>
      <w:u w:val="none"/>
    </w:rPr>
  </w:style>
  <w:style w:type="character" w:customStyle="1" w:styleId="26">
    <w:name w:val="font31"/>
    <w:basedOn w:val="17"/>
    <w:qFormat/>
    <w:uiPriority w:val="0"/>
    <w:rPr>
      <w:rFonts w:hint="eastAsia" w:ascii="宋体" w:hAnsi="宋体" w:eastAsia="宋体" w:cs="宋体"/>
      <w:color w:val="000000"/>
      <w:sz w:val="18"/>
      <w:szCs w:val="18"/>
      <w:u w:val="none"/>
    </w:rPr>
  </w:style>
  <w:style w:type="character" w:customStyle="1" w:styleId="27">
    <w:name w:val="font51"/>
    <w:basedOn w:val="17"/>
    <w:qFormat/>
    <w:uiPriority w:val="0"/>
    <w:rPr>
      <w:rFonts w:hint="default" w:ascii="Times New Roman" w:hAnsi="Times New Roman" w:cs="Times New Roman"/>
      <w:color w:val="000000"/>
      <w:sz w:val="20"/>
      <w:szCs w:val="20"/>
      <w:u w:val="none"/>
    </w:rPr>
  </w:style>
  <w:style w:type="character" w:customStyle="1" w:styleId="28">
    <w:name w:val="font01"/>
    <w:basedOn w:val="17"/>
    <w:qFormat/>
    <w:uiPriority w:val="0"/>
    <w:rPr>
      <w:rFonts w:hint="eastAsia" w:ascii="宋体" w:hAnsi="宋体" w:eastAsia="宋体" w:cs="宋体"/>
      <w:color w:val="000000"/>
      <w:sz w:val="20"/>
      <w:szCs w:val="20"/>
      <w:u w:val="none"/>
    </w:rPr>
  </w:style>
  <w:style w:type="character" w:customStyle="1" w:styleId="29">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30">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paragraph" w:customStyle="1" w:styleId="31">
    <w:name w:val="列出段落1"/>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21750</Words>
  <Characters>22620</Characters>
  <Lines>180</Lines>
  <Paragraphs>50</Paragraphs>
  <TotalTime>38</TotalTime>
  <ScaleCrop>false</ScaleCrop>
  <LinksUpToDate>false</LinksUpToDate>
  <CharactersWithSpaces>23361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2020-08-03T09:21:00Z</dcterms:created>
  <dc:creator>运营部-陈宁</dc:creator>
  <cp:lastModifiedBy>LEUNG</cp:lastModifiedBy>
  <cp:lastPrinted>2020-08-06T18:49:00Z</cp:lastPrinted>
  <dcterms:modified xsi:type="dcterms:W3CDTF">2024-10-30T08:11:03Z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0AD9CC245F25432EA3FA63D762EB3A37_13</vt:lpwstr>
  </property>
</Properties>
</file>