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B887C1">
      <w:pPr>
        <w:spacing w:beforeLines="30"/>
        <w:rPr>
          <w:rFonts w:ascii="宋体" w:hAnsi="宋体"/>
          <w:b/>
          <w:sz w:val="28"/>
          <w:szCs w:val="32"/>
          <w:highlight w:val="none"/>
        </w:rPr>
      </w:pPr>
    </w:p>
    <w:p w14:paraId="3C3B5219">
      <w:pPr>
        <w:spacing w:beforeLines="30"/>
        <w:rPr>
          <w:rFonts w:ascii="宋体" w:hAnsi="宋体"/>
          <w:b/>
          <w:highlight w:val="none"/>
        </w:rPr>
      </w:pPr>
    </w:p>
    <w:p w14:paraId="2B49B7B8">
      <w:pPr>
        <w:spacing w:beforeLines="30" w:line="360" w:lineRule="auto"/>
        <w:jc w:val="center"/>
        <w:rPr>
          <w:rFonts w:ascii="黑体" w:hAnsi="黑体" w:eastAsia="黑体" w:cs="黑体"/>
          <w:b/>
          <w:sz w:val="48"/>
          <w:szCs w:val="52"/>
          <w:highlight w:val="none"/>
        </w:rPr>
      </w:pPr>
    </w:p>
    <w:p w14:paraId="13DED0D6">
      <w:pPr>
        <w:spacing w:beforeLines="30" w:line="360" w:lineRule="auto"/>
        <w:jc w:val="center"/>
        <w:rPr>
          <w:rFonts w:ascii="黑体" w:hAnsi="黑体" w:eastAsia="黑体" w:cs="黑体"/>
          <w:b/>
          <w:sz w:val="48"/>
          <w:szCs w:val="52"/>
          <w:highlight w:val="none"/>
        </w:rPr>
      </w:pPr>
    </w:p>
    <w:p w14:paraId="3206CDFE">
      <w:pPr>
        <w:spacing w:beforeLines="30" w:line="360" w:lineRule="auto"/>
        <w:jc w:val="center"/>
        <w:rPr>
          <w:rFonts w:ascii="黑体" w:hAnsi="黑体" w:eastAsia="黑体" w:cs="黑体"/>
          <w:b/>
          <w:sz w:val="48"/>
          <w:szCs w:val="52"/>
          <w:highlight w:val="none"/>
        </w:rPr>
      </w:pPr>
    </w:p>
    <w:p w14:paraId="49566D0E">
      <w:pPr>
        <w:keepNext w:val="0"/>
        <w:keepLines w:val="0"/>
        <w:pageBreakBefore w:val="0"/>
        <w:widowControl w:val="0"/>
        <w:kinsoku/>
        <w:wordWrap/>
        <w:overflowPunct/>
        <w:topLinePunct w:val="0"/>
        <w:autoSpaceDE/>
        <w:autoSpaceDN/>
        <w:bidi w:val="0"/>
        <w:adjustRightInd/>
        <w:snapToGrid/>
        <w:spacing w:beforeLines="30" w:line="600" w:lineRule="exact"/>
        <w:jc w:val="center"/>
        <w:textAlignment w:val="auto"/>
        <w:rPr>
          <w:rFonts w:hint="default" w:ascii="方正小标宋简体" w:hAnsi="方正小标宋简体" w:eastAsia="方正小标宋简体" w:cs="方正小标宋简体"/>
          <w:b w:val="0"/>
          <w:bCs/>
          <w:sz w:val="48"/>
          <w:szCs w:val="52"/>
          <w:highlight w:val="none"/>
          <w:lang w:val="en-US" w:eastAsia="zh-CN"/>
        </w:rPr>
      </w:pPr>
      <w:r>
        <w:rPr>
          <w:rFonts w:hint="eastAsia" w:ascii="方正小标宋简体" w:hAnsi="方正小标宋简体" w:eastAsia="方正小标宋简体" w:cs="方正小标宋简体"/>
          <w:b w:val="0"/>
          <w:bCs/>
          <w:sz w:val="48"/>
          <w:szCs w:val="52"/>
          <w:highlight w:val="none"/>
        </w:rPr>
        <w:t>深圳市鹏劳人力资源管理有限公司</w:t>
      </w:r>
      <w:r>
        <w:rPr>
          <w:rFonts w:hint="eastAsia" w:ascii="方正小标宋简体" w:hAnsi="方正小标宋简体" w:eastAsia="方正小标宋简体" w:cs="方正小标宋简体"/>
          <w:b w:val="0"/>
          <w:bCs/>
          <w:sz w:val="48"/>
          <w:szCs w:val="52"/>
          <w:highlight w:val="none"/>
          <w:lang w:val="en-US" w:eastAsia="zh-CN"/>
        </w:rPr>
        <w:t>2024年</w:t>
      </w:r>
      <w:r>
        <w:rPr>
          <w:rFonts w:hint="eastAsia" w:ascii="方正小标宋简体" w:hAnsi="方正小标宋简体" w:eastAsia="方正小标宋简体" w:cs="方正小标宋简体"/>
          <w:b w:val="0"/>
          <w:bCs/>
          <w:sz w:val="48"/>
          <w:szCs w:val="52"/>
          <w:highlight w:val="none"/>
        </w:rPr>
        <w:t>外派员工</w:t>
      </w:r>
      <w:r>
        <w:rPr>
          <w:rFonts w:hint="eastAsia" w:ascii="方正小标宋简体" w:hAnsi="方正小标宋简体" w:eastAsia="方正小标宋简体" w:cs="方正小标宋简体"/>
          <w:b w:val="0"/>
          <w:bCs/>
          <w:sz w:val="48"/>
          <w:szCs w:val="52"/>
          <w:highlight w:val="none"/>
          <w:lang w:val="en-US" w:eastAsia="zh-CN"/>
        </w:rPr>
        <w:t>健康</w:t>
      </w:r>
      <w:r>
        <w:rPr>
          <w:rFonts w:hint="eastAsia" w:ascii="方正小标宋简体" w:hAnsi="方正小标宋简体" w:eastAsia="方正小标宋简体" w:cs="方正小标宋简体"/>
          <w:b w:val="0"/>
          <w:bCs/>
          <w:sz w:val="48"/>
          <w:szCs w:val="52"/>
          <w:highlight w:val="none"/>
        </w:rPr>
        <w:t>体检服务采购</w:t>
      </w:r>
      <w:r>
        <w:rPr>
          <w:rFonts w:hint="eastAsia" w:ascii="方正小标宋简体" w:hAnsi="方正小标宋简体" w:eastAsia="方正小标宋简体" w:cs="方正小标宋简体"/>
          <w:b w:val="0"/>
          <w:bCs/>
          <w:sz w:val="48"/>
          <w:szCs w:val="52"/>
          <w:highlight w:val="none"/>
          <w:lang w:val="en-US" w:eastAsia="zh-CN"/>
        </w:rPr>
        <w:t>项目（二次）</w:t>
      </w:r>
    </w:p>
    <w:p w14:paraId="24E82D96">
      <w:pPr>
        <w:keepNext w:val="0"/>
        <w:keepLines w:val="0"/>
        <w:pageBreakBefore w:val="0"/>
        <w:widowControl w:val="0"/>
        <w:kinsoku/>
        <w:wordWrap/>
        <w:overflowPunct/>
        <w:topLinePunct w:val="0"/>
        <w:autoSpaceDE/>
        <w:autoSpaceDN/>
        <w:bidi w:val="0"/>
        <w:adjustRightInd/>
        <w:snapToGrid/>
        <w:spacing w:beforeLines="30" w:line="600" w:lineRule="exact"/>
        <w:jc w:val="center"/>
        <w:textAlignment w:val="auto"/>
        <w:rPr>
          <w:rFonts w:hint="eastAsia" w:ascii="方正小标宋简体" w:hAnsi="方正小标宋简体" w:eastAsia="方正小标宋简体" w:cs="方正小标宋简体"/>
          <w:b w:val="0"/>
          <w:bCs/>
          <w:sz w:val="48"/>
          <w:szCs w:val="52"/>
          <w:highlight w:val="none"/>
        </w:rPr>
      </w:pPr>
      <w:r>
        <w:rPr>
          <w:rFonts w:hint="eastAsia" w:ascii="方正小标宋简体" w:hAnsi="方正小标宋简体" w:eastAsia="方正小标宋简体" w:cs="方正小标宋简体"/>
          <w:b w:val="0"/>
          <w:bCs/>
          <w:sz w:val="48"/>
          <w:szCs w:val="52"/>
          <w:highlight w:val="none"/>
        </w:rPr>
        <w:t>招标文件</w:t>
      </w:r>
    </w:p>
    <w:p w14:paraId="5B72D262">
      <w:pPr>
        <w:spacing w:beforeLines="30" w:line="360" w:lineRule="auto"/>
        <w:jc w:val="center"/>
        <w:rPr>
          <w:rFonts w:ascii="宋体" w:hAnsi="宋体"/>
          <w:b w:val="0"/>
          <w:bCs/>
          <w:sz w:val="48"/>
          <w:szCs w:val="52"/>
          <w:highlight w:val="none"/>
        </w:rPr>
      </w:pPr>
    </w:p>
    <w:p w14:paraId="7958D118">
      <w:pPr>
        <w:spacing w:beforeLines="30"/>
        <w:jc w:val="center"/>
        <w:rPr>
          <w:rFonts w:ascii="黑体" w:hAnsi="黑体" w:eastAsia="黑体" w:cs="黑体"/>
          <w:b w:val="0"/>
          <w:bCs/>
          <w:sz w:val="40"/>
          <w:szCs w:val="40"/>
          <w:highlight w:val="none"/>
        </w:rPr>
      </w:pPr>
      <w:r>
        <w:rPr>
          <w:rFonts w:hint="eastAsia" w:ascii="黑体" w:hAnsi="黑体" w:eastAsia="黑体" w:cs="黑体"/>
          <w:b w:val="0"/>
          <w:bCs/>
          <w:sz w:val="40"/>
          <w:szCs w:val="40"/>
          <w:highlight w:val="none"/>
        </w:rPr>
        <w:t>采购类别:服务采购</w:t>
      </w:r>
    </w:p>
    <w:p w14:paraId="427DDC9F">
      <w:pPr>
        <w:spacing w:beforeLines="30"/>
        <w:jc w:val="center"/>
        <w:rPr>
          <w:rFonts w:hint="default" w:ascii="黑体" w:hAnsi="黑体" w:eastAsia="黑体" w:cs="黑体"/>
          <w:b w:val="0"/>
          <w:bCs/>
          <w:sz w:val="40"/>
          <w:szCs w:val="40"/>
          <w:highlight w:val="none"/>
          <w:lang w:val="en-US" w:eastAsia="zh-CN"/>
        </w:rPr>
      </w:pPr>
      <w:r>
        <w:rPr>
          <w:rFonts w:hint="eastAsia" w:ascii="黑体" w:hAnsi="黑体" w:eastAsia="黑体" w:cs="黑体"/>
          <w:b w:val="0"/>
          <w:bCs/>
          <w:sz w:val="40"/>
          <w:szCs w:val="40"/>
          <w:highlight w:val="none"/>
        </w:rPr>
        <w:t>招标编号：PLHR-ZB-FW-</w:t>
      </w:r>
      <w:r>
        <w:rPr>
          <w:rFonts w:hint="eastAsia" w:ascii="黑体" w:hAnsi="黑体" w:eastAsia="黑体" w:cs="黑体"/>
          <w:b w:val="0"/>
          <w:bCs/>
          <w:sz w:val="40"/>
          <w:szCs w:val="40"/>
          <w:highlight w:val="none"/>
          <w:lang w:eastAsia="zh-CN"/>
        </w:rPr>
        <w:t>202</w:t>
      </w:r>
      <w:r>
        <w:rPr>
          <w:rFonts w:hint="eastAsia" w:ascii="黑体" w:hAnsi="黑体" w:eastAsia="黑体" w:cs="黑体"/>
          <w:b w:val="0"/>
          <w:bCs/>
          <w:sz w:val="40"/>
          <w:szCs w:val="40"/>
          <w:highlight w:val="none"/>
          <w:lang w:val="en-US" w:eastAsia="zh-CN"/>
        </w:rPr>
        <w:t>40601</w:t>
      </w:r>
    </w:p>
    <w:p w14:paraId="4C2E207A">
      <w:pPr>
        <w:spacing w:beforeLines="30" w:line="360" w:lineRule="auto"/>
        <w:jc w:val="center"/>
        <w:rPr>
          <w:rFonts w:ascii="黑体" w:hAnsi="黑体" w:eastAsia="黑体" w:cs="黑体"/>
          <w:b w:val="0"/>
          <w:bCs/>
          <w:sz w:val="24"/>
          <w:szCs w:val="24"/>
          <w:highlight w:val="none"/>
        </w:rPr>
      </w:pPr>
    </w:p>
    <w:p w14:paraId="400D5391">
      <w:pPr>
        <w:spacing w:beforeLines="30" w:line="360" w:lineRule="auto"/>
        <w:jc w:val="center"/>
        <w:rPr>
          <w:rFonts w:ascii="宋体" w:hAnsi="宋体"/>
          <w:b w:val="0"/>
          <w:bCs/>
          <w:sz w:val="30"/>
          <w:szCs w:val="32"/>
          <w:highlight w:val="none"/>
        </w:rPr>
      </w:pPr>
    </w:p>
    <w:p w14:paraId="40CB6C84">
      <w:pPr>
        <w:spacing w:beforeLines="30" w:line="360" w:lineRule="auto"/>
        <w:rPr>
          <w:rFonts w:ascii="宋体" w:hAnsi="宋体"/>
          <w:b w:val="0"/>
          <w:bCs/>
          <w:sz w:val="34"/>
          <w:szCs w:val="36"/>
          <w:highlight w:val="none"/>
        </w:rPr>
      </w:pPr>
    </w:p>
    <w:p w14:paraId="4A30571D">
      <w:pPr>
        <w:spacing w:beforeLines="30" w:line="360" w:lineRule="auto"/>
        <w:rPr>
          <w:rFonts w:ascii="宋体" w:hAnsi="宋体"/>
          <w:b w:val="0"/>
          <w:bCs/>
          <w:sz w:val="34"/>
          <w:szCs w:val="36"/>
          <w:highlight w:val="none"/>
        </w:rPr>
      </w:pPr>
    </w:p>
    <w:p w14:paraId="39428C7C">
      <w:pPr>
        <w:spacing w:beforeLines="30" w:line="360" w:lineRule="auto"/>
        <w:jc w:val="center"/>
        <w:rPr>
          <w:rFonts w:ascii="黑体" w:hAnsi="黑体" w:eastAsia="黑体" w:cs="黑体"/>
          <w:b w:val="0"/>
          <w:bCs/>
          <w:sz w:val="34"/>
          <w:szCs w:val="36"/>
          <w:highlight w:val="none"/>
        </w:rPr>
      </w:pPr>
      <w:r>
        <w:rPr>
          <w:rFonts w:hint="eastAsia" w:ascii="黑体" w:hAnsi="黑体" w:eastAsia="黑体" w:cs="黑体"/>
          <w:b w:val="0"/>
          <w:bCs/>
          <w:sz w:val="34"/>
          <w:szCs w:val="36"/>
          <w:highlight w:val="none"/>
        </w:rPr>
        <w:t>深圳市鹏劳人力资源管理有限公司</w:t>
      </w:r>
    </w:p>
    <w:p w14:paraId="7D95D9C7">
      <w:pPr>
        <w:spacing w:beforeLines="30" w:line="360" w:lineRule="auto"/>
        <w:jc w:val="center"/>
        <w:rPr>
          <w:rFonts w:ascii="黑体" w:hAnsi="黑体" w:eastAsia="黑体" w:cs="黑体"/>
          <w:b w:val="0"/>
          <w:bCs/>
          <w:sz w:val="34"/>
          <w:szCs w:val="36"/>
          <w:highlight w:val="none"/>
        </w:rPr>
      </w:pPr>
      <w:r>
        <w:rPr>
          <w:rFonts w:hint="eastAsia" w:ascii="黑体" w:hAnsi="黑体" w:eastAsia="黑体" w:cs="黑体"/>
          <w:b w:val="0"/>
          <w:bCs/>
          <w:sz w:val="34"/>
          <w:szCs w:val="36"/>
          <w:highlight w:val="none"/>
        </w:rPr>
        <w:t>二〇二</w:t>
      </w:r>
      <w:r>
        <w:rPr>
          <w:rFonts w:hint="eastAsia" w:ascii="黑体" w:hAnsi="黑体" w:eastAsia="黑体" w:cs="黑体"/>
          <w:b w:val="0"/>
          <w:bCs/>
          <w:sz w:val="34"/>
          <w:szCs w:val="36"/>
          <w:highlight w:val="none"/>
          <w:lang w:val="en-US" w:eastAsia="zh-CN"/>
        </w:rPr>
        <w:t>四</w:t>
      </w:r>
      <w:r>
        <w:rPr>
          <w:rFonts w:hint="eastAsia" w:ascii="黑体" w:hAnsi="黑体" w:eastAsia="黑体" w:cs="黑体"/>
          <w:b w:val="0"/>
          <w:bCs/>
          <w:sz w:val="34"/>
          <w:szCs w:val="36"/>
          <w:highlight w:val="none"/>
        </w:rPr>
        <w:t>年</w:t>
      </w:r>
      <w:r>
        <w:rPr>
          <w:rFonts w:hint="eastAsia" w:ascii="黑体" w:hAnsi="黑体" w:eastAsia="黑体" w:cs="黑体"/>
          <w:b w:val="0"/>
          <w:bCs/>
          <w:sz w:val="34"/>
          <w:szCs w:val="36"/>
          <w:highlight w:val="none"/>
          <w:lang w:val="en-US" w:eastAsia="zh-CN"/>
        </w:rPr>
        <w:t>九</w:t>
      </w:r>
      <w:r>
        <w:rPr>
          <w:rFonts w:hint="eastAsia" w:ascii="黑体" w:hAnsi="黑体" w:eastAsia="黑体" w:cs="黑体"/>
          <w:b w:val="0"/>
          <w:bCs/>
          <w:sz w:val="34"/>
          <w:szCs w:val="36"/>
          <w:highlight w:val="none"/>
        </w:rPr>
        <w:t>月</w:t>
      </w:r>
    </w:p>
    <w:p w14:paraId="0FEB0042">
      <w:pPr>
        <w:pStyle w:val="13"/>
        <w:spacing w:before="0" w:after="0"/>
        <w:ind w:firstLine="0" w:firstLineChars="0"/>
        <w:outlineLvl w:val="3"/>
        <w:rPr>
          <w:rFonts w:ascii="宋体" w:hAnsi="宋体"/>
          <w:b w:val="0"/>
          <w:bCs/>
          <w:sz w:val="36"/>
          <w:szCs w:val="30"/>
          <w:highlight w:val="none"/>
        </w:rPr>
        <w:sectPr>
          <w:headerReference r:id="rId4" w:type="first"/>
          <w:headerReference r:id="rId3" w:type="default"/>
          <w:pgSz w:w="11907" w:h="16840"/>
          <w:pgMar w:top="2098" w:right="1474" w:bottom="1984" w:left="1587" w:header="1417" w:footer="603" w:gutter="0"/>
          <w:pgBorders>
            <w:top w:val="none" w:sz="0" w:space="0"/>
            <w:left w:val="none" w:sz="0" w:space="0"/>
            <w:bottom w:val="none" w:sz="0" w:space="0"/>
            <w:right w:val="none" w:sz="0" w:space="0"/>
          </w:pgBorders>
          <w:cols w:space="720" w:num="1"/>
          <w:titlePg/>
          <w:docGrid w:linePitch="462" w:charSpace="0"/>
        </w:sectPr>
      </w:pPr>
      <w:bookmarkStart w:id="0" w:name="_Toc2190"/>
    </w:p>
    <w:p w14:paraId="6C169175">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简体"/>
          <w:b w:val="0"/>
          <w:bCs/>
          <w:sz w:val="44"/>
          <w:szCs w:val="44"/>
          <w:highlight w:val="none"/>
        </w:rPr>
      </w:pPr>
      <w:bookmarkStart w:id="1" w:name="_Toc11413"/>
      <w:bookmarkStart w:id="2" w:name="_Toc21460"/>
      <w:r>
        <w:rPr>
          <w:rFonts w:hint="eastAsia" w:ascii="方正小标宋简体" w:hAnsi="方正小标宋简体" w:eastAsia="方正小标宋简体" w:cs="方正小标宋简体"/>
          <w:b w:val="0"/>
          <w:bCs/>
          <w:sz w:val="44"/>
          <w:szCs w:val="44"/>
          <w:highlight w:val="none"/>
        </w:rPr>
        <w:t>目 录</w:t>
      </w:r>
      <w:bookmarkEnd w:id="0"/>
      <w:bookmarkEnd w:id="1"/>
      <w:bookmarkEnd w:id="2"/>
      <w:bookmarkStart w:id="3" w:name="_Toc11256885"/>
      <w:bookmarkStart w:id="4" w:name="_Toc27690_WPSOffice_Level1"/>
      <w:bookmarkStart w:id="5" w:name="_Toc10743"/>
    </w:p>
    <w:sdt>
      <w:sdtPr>
        <w:rPr>
          <w:rFonts w:ascii="宋体" w:hAnsi="宋体" w:eastAsia="宋体" w:cs="Times New Roman"/>
          <w:b/>
          <w:kern w:val="28"/>
          <w:sz w:val="32"/>
          <w:szCs w:val="32"/>
          <w:highlight w:val="none"/>
        </w:rPr>
        <w:id w:val="147481365"/>
        <w:docPartObj>
          <w:docPartGallery w:val="Table of Contents"/>
          <w:docPartUnique/>
        </w:docPartObj>
      </w:sdtPr>
      <w:sdtEndPr>
        <w:rPr>
          <w:rFonts w:hint="eastAsia" w:ascii="宋体" w:hAnsi="宋体" w:eastAsia="宋体" w:cs="宋体"/>
          <w:b/>
          <w:kern w:val="28"/>
          <w:sz w:val="24"/>
          <w:szCs w:val="24"/>
          <w:highlight w:val="none"/>
        </w:rPr>
      </w:sdtEndPr>
      <w:sdtContent>
        <w:p w14:paraId="23F5776C">
          <w:pPr>
            <w:jc w:val="center"/>
            <w:rPr>
              <w:b/>
              <w:highlight w:val="none"/>
            </w:rPr>
          </w:pPr>
        </w:p>
        <w:p w14:paraId="3133873A">
          <w:pPr>
            <w:pStyle w:val="12"/>
            <w:keepNext w:val="0"/>
            <w:keepLines w:val="0"/>
            <w:pageBreakBefore w:val="0"/>
            <w:widowControl w:val="0"/>
            <w:tabs>
              <w:tab w:val="right" w:leader="dot" w:pos="9214"/>
              <w:tab w:val="clear" w:pos="8295"/>
            </w:tabs>
            <w:kinsoku/>
            <w:wordWrap/>
            <w:overflowPunct/>
            <w:topLinePunct w:val="0"/>
            <w:autoSpaceDE/>
            <w:autoSpaceDN/>
            <w:bidi w:val="0"/>
            <w:adjustRightInd/>
            <w:snapToGrid/>
            <w:spacing w:before="0" w:after="0" w:line="32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b w:val="0"/>
              <w:bCs/>
              <w:sz w:val="24"/>
              <w:szCs w:val="24"/>
              <w:highlight w:val="none"/>
            </w:rPr>
            <w:fldChar w:fldCharType="begin"/>
          </w:r>
          <w:r>
            <w:rPr>
              <w:rFonts w:hint="eastAsia" w:ascii="黑体" w:hAnsi="黑体" w:eastAsia="黑体" w:cs="黑体"/>
              <w:b w:val="0"/>
              <w:bCs/>
              <w:sz w:val="24"/>
              <w:szCs w:val="24"/>
              <w:highlight w:val="none"/>
            </w:rPr>
            <w:instrText xml:space="preserve">TOC \o "1-3" \h \u </w:instrText>
          </w:r>
          <w:r>
            <w:rPr>
              <w:rFonts w:hint="eastAsia" w:ascii="黑体" w:hAnsi="黑体" w:eastAsia="黑体" w:cs="黑体"/>
              <w:b w:val="0"/>
              <w:bCs/>
              <w:sz w:val="24"/>
              <w:szCs w:val="24"/>
              <w:highlight w:val="none"/>
            </w:rPr>
            <w:fldChar w:fldCharType="separate"/>
          </w: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_Toc7838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 xml:space="preserve">第一部分 </w:t>
          </w:r>
          <w:r>
            <w:rPr>
              <w:rFonts w:hint="eastAsia" w:ascii="黑体" w:hAnsi="黑体" w:eastAsia="黑体" w:cs="黑体"/>
              <w:bCs/>
              <w:sz w:val="24"/>
              <w:szCs w:val="24"/>
              <w:highlight w:val="none"/>
              <w:lang w:val="en-US" w:eastAsia="zh-CN"/>
            </w:rPr>
            <w:t>招标公告</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_Toc7838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22AB04B3">
          <w:pPr>
            <w:pStyle w:val="14"/>
            <w:keepNext w:val="0"/>
            <w:keepLines w:val="0"/>
            <w:pageBreakBefore w:val="0"/>
            <w:widowControl w:val="0"/>
            <w:tabs>
              <w:tab w:val="right" w:leader="dot" w:pos="9214"/>
              <w:tab w:val="clear" w:pos="8295"/>
            </w:tabs>
            <w:kinsoku/>
            <w:wordWrap/>
            <w:overflowPunct/>
            <w:topLinePunct w:val="0"/>
            <w:autoSpaceDE/>
            <w:autoSpaceDN/>
            <w:bidi w:val="0"/>
            <w:adjustRightInd/>
            <w:snapToGrid/>
            <w:spacing w:line="320" w:lineRule="exact"/>
            <w:ind w:left="0" w:leftChars="0" w:firstLine="0" w:firstLineChars="0"/>
            <w:textAlignment w:val="auto"/>
            <w:rPr>
              <w:rFonts w:hint="eastAsia" w:ascii="黑体" w:hAnsi="黑体" w:eastAsia="黑体" w:cs="黑体"/>
              <w:b w:val="0"/>
              <w:bCs w:val="0"/>
              <w:sz w:val="24"/>
              <w:szCs w:val="24"/>
              <w:highlight w:val="none"/>
            </w:rPr>
          </w:pPr>
          <w:r>
            <w:rPr>
              <w:rFonts w:hint="eastAsia" w:ascii="黑体" w:hAnsi="黑体" w:eastAsia="黑体" w:cs="黑体"/>
              <w:b w:val="0"/>
              <w:bCs w:val="0"/>
              <w:sz w:val="24"/>
              <w:szCs w:val="24"/>
              <w:highlight w:val="none"/>
            </w:rPr>
            <w:fldChar w:fldCharType="begin"/>
          </w:r>
          <w:r>
            <w:rPr>
              <w:rFonts w:hint="eastAsia" w:ascii="黑体" w:hAnsi="黑体" w:eastAsia="黑体" w:cs="黑体"/>
              <w:b w:val="0"/>
              <w:bCs w:val="0"/>
              <w:sz w:val="24"/>
              <w:szCs w:val="24"/>
              <w:highlight w:val="none"/>
            </w:rPr>
            <w:instrText xml:space="preserve"> HYPERLINK \l _Toc9030 </w:instrText>
          </w:r>
          <w:r>
            <w:rPr>
              <w:rFonts w:hint="eastAsia" w:ascii="黑体" w:hAnsi="黑体" w:eastAsia="黑体" w:cs="黑体"/>
              <w:b w:val="0"/>
              <w:bCs w:val="0"/>
              <w:sz w:val="24"/>
              <w:szCs w:val="24"/>
              <w:highlight w:val="none"/>
            </w:rPr>
            <w:fldChar w:fldCharType="separate"/>
          </w:r>
          <w:r>
            <w:rPr>
              <w:rFonts w:hint="eastAsia" w:ascii="黑体" w:hAnsi="黑体" w:eastAsia="黑体" w:cs="黑体"/>
              <w:b w:val="0"/>
              <w:bCs w:val="0"/>
              <w:sz w:val="24"/>
              <w:szCs w:val="24"/>
              <w:highlight w:val="none"/>
              <w:lang w:val="en-US" w:eastAsia="zh-CN"/>
            </w:rPr>
            <w:t>深圳市鹏劳人力资源管理有限公司采购招标</w:t>
          </w:r>
          <w:r>
            <w:rPr>
              <w:rFonts w:hint="eastAsia" w:ascii="黑体" w:hAnsi="黑体" w:eastAsia="黑体" w:cs="黑体"/>
              <w:b w:val="0"/>
              <w:bCs w:val="0"/>
              <w:sz w:val="24"/>
              <w:szCs w:val="24"/>
              <w:highlight w:val="none"/>
            </w:rPr>
            <w:t>报名表</w:t>
          </w:r>
          <w:r>
            <w:rPr>
              <w:rFonts w:hint="eastAsia" w:ascii="黑体" w:hAnsi="黑体" w:eastAsia="黑体" w:cs="黑体"/>
              <w:b w:val="0"/>
              <w:bCs w:val="0"/>
              <w:sz w:val="24"/>
              <w:szCs w:val="24"/>
              <w:highlight w:val="none"/>
            </w:rPr>
            <w:tab/>
          </w:r>
          <w:r>
            <w:rPr>
              <w:rFonts w:hint="eastAsia" w:ascii="黑体" w:hAnsi="黑体" w:eastAsia="黑体" w:cs="黑体"/>
              <w:b w:val="0"/>
              <w:bCs w:val="0"/>
              <w:sz w:val="24"/>
              <w:szCs w:val="24"/>
              <w:highlight w:val="none"/>
            </w:rPr>
            <w:fldChar w:fldCharType="begin"/>
          </w:r>
          <w:r>
            <w:rPr>
              <w:rFonts w:hint="eastAsia" w:ascii="黑体" w:hAnsi="黑体" w:eastAsia="黑体" w:cs="黑体"/>
              <w:b w:val="0"/>
              <w:bCs w:val="0"/>
              <w:sz w:val="24"/>
              <w:szCs w:val="24"/>
              <w:highlight w:val="none"/>
            </w:rPr>
            <w:instrText xml:space="preserve"> PAGEREF _Toc9030 \h </w:instrText>
          </w:r>
          <w:r>
            <w:rPr>
              <w:rFonts w:hint="eastAsia" w:ascii="黑体" w:hAnsi="黑体" w:eastAsia="黑体" w:cs="黑体"/>
              <w:b w:val="0"/>
              <w:bCs w:val="0"/>
              <w:sz w:val="24"/>
              <w:szCs w:val="24"/>
              <w:highlight w:val="none"/>
            </w:rPr>
            <w:fldChar w:fldCharType="separate"/>
          </w:r>
          <w:r>
            <w:rPr>
              <w:rFonts w:hint="eastAsia" w:ascii="黑体" w:hAnsi="黑体" w:eastAsia="黑体" w:cs="黑体"/>
              <w:b w:val="0"/>
              <w:bCs w:val="0"/>
              <w:sz w:val="24"/>
              <w:szCs w:val="24"/>
              <w:highlight w:val="none"/>
            </w:rPr>
            <w:t>6</w:t>
          </w:r>
          <w:r>
            <w:rPr>
              <w:rFonts w:hint="eastAsia" w:ascii="黑体" w:hAnsi="黑体" w:eastAsia="黑体" w:cs="黑体"/>
              <w:b w:val="0"/>
              <w:bCs w:val="0"/>
              <w:sz w:val="24"/>
              <w:szCs w:val="24"/>
              <w:highlight w:val="none"/>
            </w:rPr>
            <w:fldChar w:fldCharType="end"/>
          </w:r>
          <w:r>
            <w:rPr>
              <w:rFonts w:hint="eastAsia" w:ascii="黑体" w:hAnsi="黑体" w:eastAsia="黑体" w:cs="黑体"/>
              <w:b w:val="0"/>
              <w:bCs w:val="0"/>
              <w:sz w:val="24"/>
              <w:szCs w:val="24"/>
              <w:highlight w:val="none"/>
            </w:rPr>
            <w:fldChar w:fldCharType="end"/>
          </w:r>
        </w:p>
        <w:p w14:paraId="49FEF621">
          <w:pPr>
            <w:pStyle w:val="12"/>
            <w:keepNext w:val="0"/>
            <w:keepLines w:val="0"/>
            <w:pageBreakBefore w:val="0"/>
            <w:widowControl w:val="0"/>
            <w:tabs>
              <w:tab w:val="right" w:leader="dot" w:pos="9214"/>
              <w:tab w:val="clear" w:pos="8295"/>
            </w:tabs>
            <w:kinsoku/>
            <w:wordWrap/>
            <w:overflowPunct/>
            <w:topLinePunct w:val="0"/>
            <w:autoSpaceDE/>
            <w:autoSpaceDN/>
            <w:bidi w:val="0"/>
            <w:adjustRightInd/>
            <w:snapToGrid/>
            <w:spacing w:before="0" w:after="0" w:line="320" w:lineRule="exact"/>
            <w:ind w:left="0" w:leftChars="0" w:firstLine="0" w:firstLine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_Toc26240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第二部分 招标文件</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_Toc26240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C68386E">
          <w:pPr>
            <w:pStyle w:val="14"/>
            <w:keepNext w:val="0"/>
            <w:keepLines w:val="0"/>
            <w:pageBreakBefore w:val="0"/>
            <w:widowControl w:val="0"/>
            <w:tabs>
              <w:tab w:val="right" w:leader="dot" w:pos="9214"/>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_Toc23646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第一章 项目概况及招标程序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_Toc23646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94A276C">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_Toc24337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lang w:val="zh-CN"/>
            </w:rPr>
            <w:t>一、项目名称</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_Toc24337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0D76CF4D">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_Toc324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lang w:val="zh-CN"/>
            </w:rPr>
            <w:t>二、招标编号</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_Toc324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A28767A">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_Toc22072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rPr>
            <w:t>三、投标人资质要求</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_Toc22072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7</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682EF6E7">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_Toc13670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lang w:val="zh-CN"/>
            </w:rPr>
            <w:t>四、项目内容、服务需求及期限</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_Toc13670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8</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629B4BEE">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_Toc2987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rPr>
            <w:t>六、投标文件要求</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_Toc2987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12</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21756DB2">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_Toc17308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rPr>
            <w:t>七、投标人须知</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_Toc17308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15</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6FAC4523">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_Toc26871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rPr>
            <w:t>八、投标文件作废</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_Toc26871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17</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0C87B033">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_Toc22797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rPr>
            <w:t>九、其他要求</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_Toc22797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18</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2DDF4C16">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_Toc20810 </w:instrText>
          </w:r>
          <w:r>
            <w:rPr>
              <w:rFonts w:hint="eastAsia" w:ascii="黑体" w:hAnsi="黑体" w:eastAsia="黑体" w:cs="黑体"/>
              <w:bCs/>
              <w:sz w:val="24"/>
              <w:szCs w:val="24"/>
              <w:highlight w:val="none"/>
            </w:rPr>
            <w:fldChar w:fldCharType="separate"/>
          </w:r>
          <w:r>
            <w:rPr>
              <w:rFonts w:hint="eastAsia" w:ascii="黑体" w:hAnsi="黑体" w:eastAsia="黑体" w:cs="黑体"/>
              <w:sz w:val="24"/>
              <w:szCs w:val="24"/>
              <w:highlight w:val="none"/>
            </w:rPr>
            <w:t>十、投标文件递交</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_Toc20810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19</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52A1400B">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_Toc5188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十</w:t>
          </w:r>
          <w:r>
            <w:rPr>
              <w:rFonts w:hint="eastAsia" w:ascii="黑体" w:hAnsi="黑体" w:eastAsia="黑体" w:cs="黑体"/>
              <w:bCs/>
              <w:sz w:val="24"/>
              <w:szCs w:val="24"/>
              <w:highlight w:val="none"/>
              <w:lang w:eastAsia="zh-CN"/>
            </w:rPr>
            <w:t>一</w:t>
          </w:r>
          <w:r>
            <w:rPr>
              <w:rFonts w:hint="eastAsia" w:ascii="黑体" w:hAnsi="黑体" w:eastAsia="黑体" w:cs="黑体"/>
              <w:bCs/>
              <w:sz w:val="24"/>
              <w:szCs w:val="24"/>
              <w:highlight w:val="none"/>
            </w:rPr>
            <w:t>、开标</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_Toc5188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19</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78BFD844">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_Toc30898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十</w:t>
          </w:r>
          <w:r>
            <w:rPr>
              <w:rFonts w:hint="eastAsia" w:ascii="黑体" w:hAnsi="黑体" w:eastAsia="黑体" w:cs="黑体"/>
              <w:bCs/>
              <w:sz w:val="24"/>
              <w:szCs w:val="24"/>
              <w:highlight w:val="none"/>
              <w:lang w:eastAsia="zh-CN"/>
            </w:rPr>
            <w:t>二</w:t>
          </w:r>
          <w:r>
            <w:rPr>
              <w:rFonts w:hint="eastAsia" w:ascii="黑体" w:hAnsi="黑体" w:eastAsia="黑体" w:cs="黑体"/>
              <w:bCs/>
              <w:sz w:val="24"/>
              <w:szCs w:val="24"/>
              <w:highlight w:val="none"/>
            </w:rPr>
            <w:t>、评标</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_Toc30898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21</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1DDEC76D">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_Toc29188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十</w:t>
          </w:r>
          <w:r>
            <w:rPr>
              <w:rFonts w:hint="eastAsia" w:ascii="黑体" w:hAnsi="黑体" w:eastAsia="黑体" w:cs="黑体"/>
              <w:bCs/>
              <w:sz w:val="24"/>
              <w:szCs w:val="24"/>
              <w:highlight w:val="none"/>
              <w:lang w:eastAsia="zh-CN"/>
            </w:rPr>
            <w:t>三</w:t>
          </w:r>
          <w:r>
            <w:rPr>
              <w:rFonts w:hint="eastAsia" w:ascii="黑体" w:hAnsi="黑体" w:eastAsia="黑体" w:cs="黑体"/>
              <w:bCs/>
              <w:sz w:val="24"/>
              <w:szCs w:val="24"/>
              <w:highlight w:val="none"/>
            </w:rPr>
            <w:t>、定标</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_Toc29188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21</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2522D18D">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_Toc17962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十</w:t>
          </w:r>
          <w:r>
            <w:rPr>
              <w:rFonts w:hint="eastAsia" w:ascii="黑体" w:hAnsi="黑体" w:eastAsia="黑体" w:cs="黑体"/>
              <w:bCs/>
              <w:sz w:val="24"/>
              <w:szCs w:val="24"/>
              <w:highlight w:val="none"/>
              <w:lang w:eastAsia="zh-CN"/>
            </w:rPr>
            <w:t>四</w:t>
          </w:r>
          <w:r>
            <w:rPr>
              <w:rFonts w:hint="eastAsia" w:ascii="黑体" w:hAnsi="黑体" w:eastAsia="黑体" w:cs="黑体"/>
              <w:bCs/>
              <w:sz w:val="24"/>
              <w:szCs w:val="24"/>
              <w:highlight w:val="none"/>
            </w:rPr>
            <w:t>、结算方式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_Toc17962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21</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AF512AE">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_Toc11671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十</w:t>
          </w:r>
          <w:r>
            <w:rPr>
              <w:rFonts w:hint="eastAsia" w:ascii="黑体" w:hAnsi="黑体" w:eastAsia="黑体" w:cs="黑体"/>
              <w:bCs/>
              <w:sz w:val="24"/>
              <w:szCs w:val="24"/>
              <w:highlight w:val="none"/>
              <w:lang w:eastAsia="zh-CN"/>
            </w:rPr>
            <w:t>五</w:t>
          </w:r>
          <w:r>
            <w:rPr>
              <w:rFonts w:hint="eastAsia" w:ascii="黑体" w:hAnsi="黑体" w:eastAsia="黑体" w:cs="黑体"/>
              <w:bCs/>
              <w:sz w:val="24"/>
              <w:szCs w:val="24"/>
              <w:highlight w:val="none"/>
            </w:rPr>
            <w:t>、解释权</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_Toc11671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21</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355BCD6B">
          <w:pPr>
            <w:pStyle w:val="14"/>
            <w:keepNext w:val="0"/>
            <w:keepLines w:val="0"/>
            <w:pageBreakBefore w:val="0"/>
            <w:widowControl w:val="0"/>
            <w:tabs>
              <w:tab w:val="right" w:leader="dot" w:pos="9214"/>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_Toc7974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第二章 评标程序及标准</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_Toc7974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22</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592A5C93">
          <w:pPr>
            <w:pStyle w:val="14"/>
            <w:keepNext w:val="0"/>
            <w:keepLines w:val="0"/>
            <w:pageBreakBefore w:val="0"/>
            <w:widowControl w:val="0"/>
            <w:tabs>
              <w:tab w:val="right" w:leader="dot" w:pos="9214"/>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_Toc6311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第三章 合同条款</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_Toc6311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29</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BE32633">
          <w:pPr>
            <w:pStyle w:val="14"/>
            <w:keepNext w:val="0"/>
            <w:keepLines w:val="0"/>
            <w:pageBreakBefore w:val="0"/>
            <w:widowControl w:val="0"/>
            <w:tabs>
              <w:tab w:val="right" w:leader="dot" w:pos="9214"/>
              <w:tab w:val="clear" w:pos="8295"/>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_Toc12424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第四章 投标文件格式</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_Toc12424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39</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622F7822">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_Toc20204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格式1：《唱标信封》</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_Toc20204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39</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1E27AF53">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_Toc10266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格式2：开标一览表</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_Toc10266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40</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6CBDCC51">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_Toc3119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格式</w:t>
          </w:r>
          <w:r>
            <w:rPr>
              <w:rFonts w:hint="eastAsia" w:ascii="黑体" w:hAnsi="黑体" w:eastAsia="黑体" w:cs="黑体"/>
              <w:bCs/>
              <w:sz w:val="24"/>
              <w:szCs w:val="24"/>
              <w:highlight w:val="none"/>
              <w:lang w:val="en-US" w:eastAsia="zh-CN"/>
            </w:rPr>
            <w:t>3</w:t>
          </w:r>
          <w:r>
            <w:rPr>
              <w:rFonts w:hint="eastAsia" w:ascii="黑体" w:hAnsi="黑体" w:eastAsia="黑体" w:cs="黑体"/>
              <w:bCs/>
              <w:sz w:val="24"/>
              <w:szCs w:val="24"/>
              <w:highlight w:val="none"/>
            </w:rPr>
            <w:t>:</w:t>
          </w:r>
          <w:r>
            <w:rPr>
              <w:rFonts w:hint="eastAsia" w:ascii="黑体" w:hAnsi="黑体" w:eastAsia="黑体" w:cs="黑体"/>
              <w:bCs/>
              <w:sz w:val="24"/>
              <w:szCs w:val="24"/>
              <w:highlight w:val="none"/>
              <w:lang w:val="en-US" w:eastAsia="zh-CN"/>
            </w:rPr>
            <w:t>业绩证明</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_Toc3119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41</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383668F7">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_Toc11014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格式</w:t>
          </w:r>
          <w:r>
            <w:rPr>
              <w:rFonts w:hint="eastAsia" w:ascii="黑体" w:hAnsi="黑体" w:eastAsia="黑体" w:cs="黑体"/>
              <w:bCs/>
              <w:sz w:val="24"/>
              <w:szCs w:val="24"/>
              <w:highlight w:val="none"/>
              <w:lang w:val="en-US" w:eastAsia="zh-CN"/>
            </w:rPr>
            <w:t>4</w:t>
          </w:r>
          <w:r>
            <w:rPr>
              <w:rFonts w:hint="eastAsia" w:ascii="黑体" w:hAnsi="黑体" w:eastAsia="黑体" w:cs="黑体"/>
              <w:bCs/>
              <w:sz w:val="24"/>
              <w:szCs w:val="24"/>
              <w:highlight w:val="none"/>
            </w:rPr>
            <w:t>: 体检套餐及项目清单</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_Toc11014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42</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6A5BCFD">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_Toc24429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lang w:val="zh-CN"/>
            </w:rPr>
            <w:t>格式</w:t>
          </w:r>
          <w:r>
            <w:rPr>
              <w:rFonts w:hint="eastAsia" w:ascii="黑体" w:hAnsi="黑体" w:eastAsia="黑体" w:cs="黑体"/>
              <w:bCs/>
              <w:sz w:val="24"/>
              <w:szCs w:val="24"/>
              <w:highlight w:val="none"/>
              <w:lang w:val="en-US" w:eastAsia="zh-CN"/>
            </w:rPr>
            <w:t>5</w:t>
          </w:r>
          <w:r>
            <w:rPr>
              <w:rFonts w:hint="eastAsia" w:ascii="黑体" w:hAnsi="黑体" w:eastAsia="黑体" w:cs="黑体"/>
              <w:bCs/>
              <w:sz w:val="24"/>
              <w:szCs w:val="24"/>
              <w:highlight w:val="none"/>
            </w:rPr>
            <w:t>：商务技术要求响应情况清单</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_Toc24429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45</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479E3252">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_Toc30948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rPr>
            <w:t>格式</w:t>
          </w:r>
          <w:r>
            <w:rPr>
              <w:rFonts w:hint="eastAsia" w:ascii="黑体" w:hAnsi="黑体" w:eastAsia="黑体" w:cs="黑体"/>
              <w:bCs/>
              <w:sz w:val="24"/>
              <w:szCs w:val="24"/>
              <w:highlight w:val="none"/>
              <w:lang w:val="en-US" w:eastAsia="zh-CN"/>
            </w:rPr>
            <w:t>6</w:t>
          </w:r>
          <w:r>
            <w:rPr>
              <w:rFonts w:hint="eastAsia" w:ascii="黑体" w:hAnsi="黑体" w:eastAsia="黑体" w:cs="黑体"/>
              <w:bCs/>
              <w:sz w:val="24"/>
              <w:szCs w:val="24"/>
              <w:highlight w:val="none"/>
            </w:rPr>
            <w:t>：报价表</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_Toc30948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46</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7EB752A1">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_Toc3113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lang w:val="zh-CN"/>
            </w:rPr>
            <w:t>格式</w:t>
          </w:r>
          <w:r>
            <w:rPr>
              <w:rFonts w:hint="eastAsia" w:ascii="黑体" w:hAnsi="黑体" w:eastAsia="黑体" w:cs="黑体"/>
              <w:bCs/>
              <w:sz w:val="24"/>
              <w:szCs w:val="24"/>
              <w:highlight w:val="none"/>
              <w:lang w:val="en-US" w:eastAsia="zh-CN"/>
            </w:rPr>
            <w:t>7</w:t>
          </w:r>
          <w:r>
            <w:rPr>
              <w:rFonts w:hint="eastAsia" w:ascii="黑体" w:hAnsi="黑体" w:eastAsia="黑体" w:cs="黑体"/>
              <w:bCs/>
              <w:sz w:val="24"/>
              <w:szCs w:val="24"/>
              <w:highlight w:val="none"/>
              <w:lang w:val="zh-CN"/>
            </w:rPr>
            <w:t>：</w:t>
          </w:r>
          <w:r>
            <w:rPr>
              <w:rFonts w:hint="eastAsia" w:ascii="黑体" w:hAnsi="黑体" w:eastAsia="黑体" w:cs="黑体"/>
              <w:bCs/>
              <w:sz w:val="24"/>
              <w:szCs w:val="24"/>
              <w:highlight w:val="none"/>
              <w:lang w:val="en-US" w:eastAsia="zh-CN"/>
            </w:rPr>
            <w:t>廉洁</w:t>
          </w:r>
          <w:r>
            <w:rPr>
              <w:rFonts w:hint="eastAsia" w:ascii="黑体" w:hAnsi="黑体" w:eastAsia="黑体" w:cs="黑体"/>
              <w:bCs/>
              <w:sz w:val="24"/>
              <w:szCs w:val="24"/>
              <w:highlight w:val="none"/>
              <w:lang w:val="zh-CN"/>
            </w:rPr>
            <w:t>承诺函</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_Toc3113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48</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28749FFA">
          <w:pPr>
            <w:pStyle w:val="7"/>
            <w:keepNext w:val="0"/>
            <w:keepLines w:val="0"/>
            <w:pageBreakBefore w:val="0"/>
            <w:widowControl w:val="0"/>
            <w:tabs>
              <w:tab w:val="right" w:leader="dot" w:pos="9214"/>
            </w:tabs>
            <w:kinsoku/>
            <w:wordWrap/>
            <w:overflowPunct/>
            <w:topLinePunct w:val="0"/>
            <w:autoSpaceDE/>
            <w:autoSpaceDN/>
            <w:bidi w:val="0"/>
            <w:adjustRightInd/>
            <w:snapToGrid/>
            <w:spacing w:line="320" w:lineRule="exact"/>
            <w:ind w:left="0" w:leftChars="0"/>
            <w:textAlignment w:val="auto"/>
            <w:rPr>
              <w:rFonts w:hint="eastAsia" w:ascii="黑体" w:hAnsi="黑体" w:eastAsia="黑体" w:cs="黑体"/>
              <w:sz w:val="24"/>
              <w:szCs w:val="24"/>
              <w:highlight w:val="none"/>
            </w:rPr>
          </w:pPr>
          <w:r>
            <w:rPr>
              <w:rFonts w:hint="eastAsia" w:ascii="黑体" w:hAnsi="黑体" w:eastAsia="黑体" w:cs="黑体"/>
              <w:bCs/>
              <w:sz w:val="24"/>
              <w:szCs w:val="24"/>
              <w:highlight w:val="none"/>
            </w:rPr>
            <w:fldChar w:fldCharType="begin"/>
          </w:r>
          <w:r>
            <w:rPr>
              <w:rFonts w:hint="eastAsia" w:ascii="黑体" w:hAnsi="黑体" w:eastAsia="黑体" w:cs="黑体"/>
              <w:bCs/>
              <w:sz w:val="24"/>
              <w:szCs w:val="24"/>
              <w:highlight w:val="none"/>
            </w:rPr>
            <w:instrText xml:space="preserve"> HYPERLINK \l _Toc26704 </w:instrText>
          </w:r>
          <w:r>
            <w:rPr>
              <w:rFonts w:hint="eastAsia" w:ascii="黑体" w:hAnsi="黑体" w:eastAsia="黑体" w:cs="黑体"/>
              <w:bCs/>
              <w:sz w:val="24"/>
              <w:szCs w:val="24"/>
              <w:highlight w:val="none"/>
            </w:rPr>
            <w:fldChar w:fldCharType="separate"/>
          </w:r>
          <w:r>
            <w:rPr>
              <w:rFonts w:hint="eastAsia" w:ascii="黑体" w:hAnsi="黑体" w:eastAsia="黑体" w:cs="黑体"/>
              <w:bCs/>
              <w:sz w:val="24"/>
              <w:szCs w:val="24"/>
              <w:highlight w:val="none"/>
              <w:lang w:val="zh-CN"/>
            </w:rPr>
            <w:t>格式</w:t>
          </w:r>
          <w:r>
            <w:rPr>
              <w:rFonts w:hint="eastAsia" w:ascii="黑体" w:hAnsi="黑体" w:eastAsia="黑体" w:cs="黑体"/>
              <w:bCs/>
              <w:sz w:val="24"/>
              <w:szCs w:val="24"/>
              <w:highlight w:val="none"/>
              <w:lang w:val="en-US" w:eastAsia="zh-CN"/>
            </w:rPr>
            <w:t>8</w:t>
          </w:r>
          <w:r>
            <w:rPr>
              <w:rFonts w:hint="eastAsia" w:ascii="黑体" w:hAnsi="黑体" w:eastAsia="黑体" w:cs="黑体"/>
              <w:bCs/>
              <w:sz w:val="24"/>
              <w:szCs w:val="24"/>
              <w:highlight w:val="none"/>
              <w:lang w:val="zh-CN"/>
            </w:rPr>
            <w:t>：</w:t>
          </w:r>
          <w:r>
            <w:rPr>
              <w:rFonts w:hint="eastAsia" w:ascii="黑体" w:hAnsi="黑体" w:eastAsia="黑体" w:cs="黑体"/>
              <w:bCs/>
              <w:sz w:val="24"/>
              <w:szCs w:val="24"/>
              <w:highlight w:val="none"/>
              <w:lang w:val="en-US" w:eastAsia="zh-CN"/>
            </w:rPr>
            <w:t>服务保价</w:t>
          </w:r>
          <w:r>
            <w:rPr>
              <w:rFonts w:hint="eastAsia" w:ascii="黑体" w:hAnsi="黑体" w:eastAsia="黑体" w:cs="黑体"/>
              <w:bCs/>
              <w:sz w:val="24"/>
              <w:szCs w:val="24"/>
              <w:highlight w:val="none"/>
              <w:lang w:val="zh-CN"/>
            </w:rPr>
            <w:t>承诺函</w:t>
          </w:r>
          <w:r>
            <w:rPr>
              <w:rFonts w:hint="eastAsia" w:ascii="黑体" w:hAnsi="黑体" w:eastAsia="黑体" w:cs="黑体"/>
              <w:sz w:val="24"/>
              <w:szCs w:val="24"/>
              <w:highlight w:val="none"/>
            </w:rPr>
            <w:tab/>
          </w:r>
          <w:r>
            <w:rPr>
              <w:rFonts w:hint="eastAsia" w:ascii="黑体" w:hAnsi="黑体" w:eastAsia="黑体" w:cs="黑体"/>
              <w:sz w:val="24"/>
              <w:szCs w:val="24"/>
              <w:highlight w:val="none"/>
            </w:rPr>
            <w:fldChar w:fldCharType="begin"/>
          </w:r>
          <w:r>
            <w:rPr>
              <w:rFonts w:hint="eastAsia" w:ascii="黑体" w:hAnsi="黑体" w:eastAsia="黑体" w:cs="黑体"/>
              <w:sz w:val="24"/>
              <w:szCs w:val="24"/>
              <w:highlight w:val="none"/>
            </w:rPr>
            <w:instrText xml:space="preserve"> PAGEREF _Toc26704 \h </w:instrText>
          </w:r>
          <w:r>
            <w:rPr>
              <w:rFonts w:hint="eastAsia" w:ascii="黑体" w:hAnsi="黑体" w:eastAsia="黑体" w:cs="黑体"/>
              <w:sz w:val="24"/>
              <w:szCs w:val="24"/>
              <w:highlight w:val="none"/>
            </w:rPr>
            <w:fldChar w:fldCharType="separate"/>
          </w:r>
          <w:r>
            <w:rPr>
              <w:rFonts w:hint="eastAsia" w:ascii="黑体" w:hAnsi="黑体" w:eastAsia="黑体" w:cs="黑体"/>
              <w:sz w:val="24"/>
              <w:szCs w:val="24"/>
              <w:highlight w:val="none"/>
            </w:rPr>
            <w:t>49</w:t>
          </w:r>
          <w:r>
            <w:rPr>
              <w:rFonts w:hint="eastAsia" w:ascii="黑体" w:hAnsi="黑体" w:eastAsia="黑体" w:cs="黑体"/>
              <w:sz w:val="24"/>
              <w:szCs w:val="24"/>
              <w:highlight w:val="none"/>
            </w:rPr>
            <w:fldChar w:fldCharType="end"/>
          </w:r>
          <w:r>
            <w:rPr>
              <w:rFonts w:hint="eastAsia" w:ascii="黑体" w:hAnsi="黑体" w:eastAsia="黑体" w:cs="黑体"/>
              <w:bCs/>
              <w:sz w:val="24"/>
              <w:szCs w:val="24"/>
              <w:highlight w:val="none"/>
            </w:rPr>
            <w:fldChar w:fldCharType="end"/>
          </w:r>
        </w:p>
        <w:p w14:paraId="75CBE72E">
          <w:pPr>
            <w:pStyle w:val="13"/>
            <w:keepNext w:val="0"/>
            <w:keepLines w:val="0"/>
            <w:pageBreakBefore w:val="0"/>
            <w:widowControl w:val="0"/>
            <w:kinsoku/>
            <w:wordWrap/>
            <w:overflowPunct/>
            <w:topLinePunct w:val="0"/>
            <w:autoSpaceDE/>
            <w:autoSpaceDN/>
            <w:bidi w:val="0"/>
            <w:adjustRightInd/>
            <w:snapToGrid/>
            <w:spacing w:before="0" w:after="0" w:line="320" w:lineRule="exact"/>
            <w:ind w:left="0" w:leftChars="0" w:firstLine="0" w:firstLineChars="0"/>
            <w:jc w:val="both"/>
            <w:textAlignment w:val="auto"/>
            <w:outlineLvl w:val="9"/>
            <w:rPr>
              <w:rFonts w:ascii="宋体" w:hAnsi="宋体" w:cs="宋体"/>
              <w:bCs w:val="0"/>
              <w:sz w:val="24"/>
              <w:szCs w:val="24"/>
              <w:highlight w:val="none"/>
            </w:rPr>
          </w:pPr>
          <w:r>
            <w:rPr>
              <w:rFonts w:hint="eastAsia" w:ascii="黑体" w:hAnsi="黑体" w:eastAsia="黑体" w:cs="黑体"/>
              <w:bCs/>
              <w:sz w:val="24"/>
              <w:szCs w:val="24"/>
              <w:highlight w:val="none"/>
            </w:rPr>
            <w:fldChar w:fldCharType="end"/>
          </w:r>
        </w:p>
      </w:sdtContent>
    </w:sdt>
    <w:p w14:paraId="1055D439">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b/>
          <w:highlight w:val="none"/>
        </w:rPr>
      </w:pPr>
    </w:p>
    <w:p w14:paraId="59BF39B4">
      <w:pPr>
        <w:rPr>
          <w:highlight w:val="none"/>
        </w:rPr>
      </w:pPr>
    </w:p>
    <w:p w14:paraId="7E46BA69">
      <w:pPr>
        <w:tabs>
          <w:tab w:val="left" w:pos="6944"/>
        </w:tabs>
        <w:jc w:val="left"/>
        <w:rPr>
          <w:highlight w:val="none"/>
        </w:rPr>
        <w:sectPr>
          <w:footerReference r:id="rId5" w:type="default"/>
          <w:pgSz w:w="11907" w:h="16840"/>
          <w:pgMar w:top="1276" w:right="1275" w:bottom="1135" w:left="1418" w:header="709" w:footer="603" w:gutter="0"/>
          <w:pgBorders>
            <w:top w:val="none" w:sz="0" w:space="0"/>
            <w:left w:val="none" w:sz="0" w:space="0"/>
            <w:bottom w:val="none" w:sz="0" w:space="0"/>
            <w:right w:val="none" w:sz="0" w:space="0"/>
          </w:pgBorders>
          <w:pgNumType w:start="1"/>
          <w:cols w:space="720" w:num="1"/>
          <w:docGrid w:linePitch="462" w:charSpace="0"/>
        </w:sectPr>
      </w:pPr>
      <w:r>
        <w:rPr>
          <w:rFonts w:hint="eastAsia"/>
          <w:highlight w:val="none"/>
        </w:rPr>
        <w:tab/>
      </w:r>
    </w:p>
    <w:p w14:paraId="13942DA6">
      <w:pPr>
        <w:pStyle w:val="2"/>
        <w:pageBreakBefore w:val="0"/>
        <w:kinsoku/>
        <w:wordWrap/>
        <w:overflowPunct/>
        <w:topLinePunct w:val="0"/>
        <w:autoSpaceDE/>
        <w:autoSpaceDN/>
        <w:bidi w:val="0"/>
        <w:adjustRightInd/>
        <w:snapToGrid/>
        <w:spacing w:line="560" w:lineRule="exact"/>
        <w:jc w:val="center"/>
        <w:textAlignment w:val="auto"/>
        <w:rPr>
          <w:rFonts w:hint="default" w:ascii="黑体" w:hAnsi="黑体" w:eastAsia="黑体" w:cs="黑体"/>
          <w:sz w:val="32"/>
          <w:szCs w:val="32"/>
          <w:highlight w:val="none"/>
          <w:lang w:val="en-US" w:eastAsia="zh-CN"/>
        </w:rPr>
      </w:pPr>
      <w:bookmarkStart w:id="6" w:name="_Toc4819"/>
      <w:bookmarkStart w:id="7" w:name="_Toc7838"/>
      <w:r>
        <w:rPr>
          <w:rFonts w:hint="eastAsia" w:ascii="黑体" w:hAnsi="黑体" w:eastAsia="黑体" w:cs="黑体"/>
          <w:b w:val="0"/>
          <w:bCs/>
          <w:sz w:val="32"/>
          <w:szCs w:val="32"/>
          <w:highlight w:val="none"/>
        </w:rPr>
        <w:t>第一</w:t>
      </w:r>
      <w:bookmarkEnd w:id="3"/>
      <w:bookmarkEnd w:id="4"/>
      <w:r>
        <w:rPr>
          <w:rFonts w:hint="eastAsia" w:ascii="黑体" w:hAnsi="黑体" w:eastAsia="黑体" w:cs="黑体"/>
          <w:b w:val="0"/>
          <w:bCs/>
          <w:sz w:val="32"/>
          <w:szCs w:val="32"/>
          <w:highlight w:val="none"/>
        </w:rPr>
        <w:t xml:space="preserve">部分 </w:t>
      </w:r>
      <w:bookmarkEnd w:id="5"/>
      <w:bookmarkEnd w:id="6"/>
      <w:r>
        <w:rPr>
          <w:rFonts w:hint="eastAsia" w:ascii="黑体" w:hAnsi="黑体" w:eastAsia="黑体" w:cs="黑体"/>
          <w:b w:val="0"/>
          <w:bCs/>
          <w:sz w:val="32"/>
          <w:szCs w:val="32"/>
          <w:highlight w:val="none"/>
          <w:lang w:val="en-US" w:eastAsia="zh-CN"/>
        </w:rPr>
        <w:t>招标公告</w:t>
      </w:r>
      <w:bookmarkEnd w:id="7"/>
    </w:p>
    <w:p w14:paraId="76AC86C6">
      <w:pPr>
        <w:pStyle w:val="2"/>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sz w:val="44"/>
          <w:szCs w:val="44"/>
          <w:highlight w:val="none"/>
          <w:lang w:val="en-US" w:eastAsia="zh-CN"/>
        </w:rPr>
      </w:pPr>
      <w:bookmarkStart w:id="8" w:name="_Toc9209"/>
      <w:bookmarkStart w:id="9" w:name="_Toc21476"/>
      <w:bookmarkStart w:id="10" w:name="_Toc29467"/>
      <w:bookmarkStart w:id="11" w:name="_Toc7967"/>
      <w:r>
        <w:rPr>
          <w:rFonts w:hint="eastAsia" w:ascii="方正小标宋简体" w:hAnsi="方正小标宋简体" w:eastAsia="方正小标宋简体" w:cs="方正小标宋简体"/>
          <w:b w:val="0"/>
          <w:bCs/>
          <w:sz w:val="44"/>
          <w:szCs w:val="44"/>
          <w:highlight w:val="none"/>
          <w:lang w:val="en-US" w:eastAsia="zh-CN"/>
        </w:rPr>
        <w:t>深圳市鹏劳人力资源管理有限公司2024年度外派</w:t>
      </w:r>
      <w:r>
        <w:rPr>
          <w:rFonts w:hint="eastAsia" w:ascii="方正小标宋简体" w:hAnsi="方正小标宋简体" w:eastAsia="方正小标宋简体" w:cs="方正小标宋简体"/>
          <w:b w:val="0"/>
          <w:bCs/>
          <w:sz w:val="44"/>
          <w:szCs w:val="44"/>
          <w:highlight w:val="none"/>
          <w:lang w:eastAsia="zh-CN"/>
        </w:rPr>
        <w:t>员工</w:t>
      </w:r>
      <w:r>
        <w:rPr>
          <w:rFonts w:hint="eastAsia" w:ascii="方正小标宋简体" w:hAnsi="方正小标宋简体" w:eastAsia="方正小标宋简体" w:cs="方正小标宋简体"/>
          <w:b w:val="0"/>
          <w:bCs/>
          <w:sz w:val="44"/>
          <w:szCs w:val="44"/>
          <w:highlight w:val="none"/>
          <w:lang w:val="en-US" w:eastAsia="zh-CN"/>
        </w:rPr>
        <w:t>健康</w:t>
      </w:r>
      <w:r>
        <w:rPr>
          <w:rFonts w:hint="eastAsia" w:ascii="方正小标宋简体" w:hAnsi="方正小标宋简体" w:eastAsia="方正小标宋简体" w:cs="方正小标宋简体"/>
          <w:b w:val="0"/>
          <w:bCs/>
          <w:sz w:val="44"/>
          <w:szCs w:val="44"/>
          <w:highlight w:val="none"/>
          <w:lang w:eastAsia="zh-CN"/>
        </w:rPr>
        <w:t>体检服务采购</w:t>
      </w:r>
      <w:bookmarkEnd w:id="8"/>
      <w:bookmarkEnd w:id="9"/>
      <w:bookmarkEnd w:id="10"/>
      <w:r>
        <w:rPr>
          <w:rFonts w:hint="eastAsia" w:ascii="方正小标宋简体" w:hAnsi="方正小标宋简体" w:eastAsia="方正小标宋简体" w:cs="方正小标宋简体"/>
          <w:b w:val="0"/>
          <w:bCs/>
          <w:sz w:val="44"/>
          <w:szCs w:val="44"/>
          <w:highlight w:val="none"/>
          <w:lang w:val="en-US" w:eastAsia="zh-CN"/>
        </w:rPr>
        <w:t>项目（二次）</w:t>
      </w:r>
    </w:p>
    <w:p w14:paraId="0C419929">
      <w:pPr>
        <w:pStyle w:val="2"/>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lang w:eastAsia="zh-CN"/>
        </w:rPr>
      </w:pPr>
      <w:bookmarkStart w:id="12" w:name="_Toc18223"/>
      <w:bookmarkStart w:id="13" w:name="_Toc23581"/>
      <w:bookmarkStart w:id="14" w:name="_Toc15725"/>
      <w:r>
        <w:rPr>
          <w:rFonts w:hint="eastAsia" w:ascii="方正小标宋简体" w:hAnsi="方正小标宋简体" w:eastAsia="方正小标宋简体" w:cs="方正小标宋简体"/>
          <w:b w:val="0"/>
          <w:bCs/>
          <w:sz w:val="44"/>
          <w:szCs w:val="44"/>
          <w:highlight w:val="none"/>
          <w:lang w:eastAsia="zh-CN"/>
        </w:rPr>
        <w:t>招标公告</w:t>
      </w:r>
      <w:bookmarkEnd w:id="11"/>
      <w:bookmarkEnd w:id="12"/>
      <w:bookmarkEnd w:id="13"/>
      <w:bookmarkEnd w:id="14"/>
    </w:p>
    <w:p w14:paraId="1C1FC312">
      <w:pPr>
        <w:rPr>
          <w:rFonts w:hint="eastAsia"/>
          <w:highlight w:val="none"/>
          <w:lang w:eastAsia="zh-CN"/>
        </w:rPr>
      </w:pPr>
    </w:p>
    <w:p w14:paraId="017434F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根据《深圳市鹏劳人力资源管理有限公司采购管理暂行办法》、《深圳市鹏劳人力资源管理有限公司招标管理暂行办法》有关规定，现就本公司2024年度外派员工健康体检服务采购项目（项目编号：PLHR-ZB-FW-20240601）</w:t>
      </w:r>
      <w:r>
        <w:rPr>
          <w:rFonts w:hint="eastAsia" w:ascii="仿宋" w:hAnsi="仿宋" w:eastAsia="仿宋" w:cs="仿宋"/>
          <w:bCs/>
          <w:sz w:val="32"/>
          <w:szCs w:val="32"/>
          <w:highlight w:val="none"/>
          <w:lang w:eastAsia="zh-CN"/>
        </w:rPr>
        <w:t>面向社会各供方实施</w:t>
      </w:r>
      <w:r>
        <w:rPr>
          <w:rFonts w:hint="eastAsia" w:ascii="仿宋" w:hAnsi="仿宋" w:eastAsia="仿宋" w:cs="仿宋"/>
          <w:bCs/>
          <w:sz w:val="32"/>
          <w:szCs w:val="32"/>
          <w:highlight w:val="none"/>
          <w:lang w:val="en-US" w:eastAsia="zh-CN"/>
        </w:rPr>
        <w:t>公开招标</w:t>
      </w:r>
      <w:r>
        <w:rPr>
          <w:rFonts w:hint="eastAsia" w:ascii="仿宋_GB2312" w:hAnsi="仿宋_GB2312" w:eastAsia="仿宋_GB2312" w:cs="仿宋_GB2312"/>
          <w:bCs/>
          <w:sz w:val="32"/>
          <w:szCs w:val="32"/>
          <w:highlight w:val="none"/>
          <w:lang w:val="en-US" w:eastAsia="zh-CN"/>
        </w:rPr>
        <w:t>，欢迎符合要求的供应商前来投标。按招标文件及本公告要求实施投标：</w:t>
      </w:r>
    </w:p>
    <w:p w14:paraId="361B50DC">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项目名称</w:t>
      </w:r>
    </w:p>
    <w:p w14:paraId="14F95E0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深圳市鹏劳人力资源管理有限公司</w:t>
      </w:r>
      <w:r>
        <w:rPr>
          <w:rFonts w:hint="eastAsia" w:ascii="仿宋_GB2312" w:hAnsi="仿宋_GB2312" w:eastAsia="仿宋_GB2312" w:cs="仿宋_GB2312"/>
          <w:bCs/>
          <w:sz w:val="32"/>
          <w:szCs w:val="32"/>
          <w:highlight w:val="none"/>
          <w:lang w:val="en-US" w:eastAsia="zh-CN"/>
        </w:rPr>
        <w:t>2024</w:t>
      </w:r>
      <w:r>
        <w:rPr>
          <w:rFonts w:hint="eastAsia" w:ascii="仿宋_GB2312" w:hAnsi="仿宋_GB2312" w:eastAsia="仿宋_GB2312" w:cs="仿宋_GB2312"/>
          <w:bCs/>
          <w:sz w:val="32"/>
          <w:szCs w:val="32"/>
          <w:highlight w:val="none"/>
          <w:lang w:eastAsia="zh-CN"/>
        </w:rPr>
        <w:t>年</w:t>
      </w:r>
      <w:r>
        <w:rPr>
          <w:rFonts w:hint="eastAsia" w:ascii="仿宋_GB2312" w:hAnsi="仿宋_GB2312" w:eastAsia="仿宋_GB2312" w:cs="仿宋_GB2312"/>
          <w:bCs/>
          <w:sz w:val="32"/>
          <w:szCs w:val="32"/>
          <w:highlight w:val="none"/>
          <w:lang w:val="en-US" w:eastAsia="zh-CN"/>
        </w:rPr>
        <w:t>度外派</w:t>
      </w:r>
      <w:r>
        <w:rPr>
          <w:rFonts w:hint="eastAsia" w:ascii="仿宋_GB2312" w:hAnsi="仿宋_GB2312" w:eastAsia="仿宋_GB2312" w:cs="仿宋_GB2312"/>
          <w:bCs/>
          <w:sz w:val="32"/>
          <w:szCs w:val="32"/>
          <w:highlight w:val="none"/>
          <w:lang w:eastAsia="zh-CN"/>
        </w:rPr>
        <w:t>员工体检服务</w:t>
      </w:r>
      <w:r>
        <w:rPr>
          <w:rFonts w:hint="eastAsia" w:ascii="仿宋_GB2312" w:hAnsi="仿宋_GB2312" w:eastAsia="仿宋_GB2312" w:cs="仿宋_GB2312"/>
          <w:bCs/>
          <w:sz w:val="32"/>
          <w:szCs w:val="32"/>
          <w:highlight w:val="none"/>
          <w:lang w:val="en-US" w:eastAsia="zh-CN"/>
        </w:rPr>
        <w:t>采购项目（二次）</w:t>
      </w:r>
    </w:p>
    <w:p w14:paraId="30BA3E68">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项目编号</w:t>
      </w:r>
    </w:p>
    <w:p w14:paraId="6E8E0CB2">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PLHR-ZB-FW-20240601</w:t>
      </w:r>
    </w:p>
    <w:p w14:paraId="1AE8E89E">
      <w:pPr>
        <w:keepNext w:val="0"/>
        <w:keepLines w:val="0"/>
        <w:pageBreakBefore w:val="0"/>
        <w:widowControl w:val="0"/>
        <w:numPr>
          <w:ilvl w:val="0"/>
          <w:numId w:val="1"/>
        </w:numPr>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val="en-US" w:eastAsia="zh-CN"/>
        </w:rPr>
        <w:t>项目概况及服务需求</w:t>
      </w:r>
    </w:p>
    <w:p w14:paraId="08FC0514">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lang w:eastAsia="zh-CN"/>
        </w:rPr>
        <w:t>本项目总限价不超过人民币</w:t>
      </w:r>
      <w:r>
        <w:rPr>
          <w:rFonts w:hint="eastAsia" w:ascii="仿宋_GB2312" w:hAnsi="仿宋_GB2312" w:eastAsia="仿宋_GB2312" w:cs="仿宋_GB2312"/>
          <w:sz w:val="32"/>
          <w:szCs w:val="32"/>
          <w:highlight w:val="none"/>
          <w:lang w:val="en-US" w:eastAsia="zh-CN"/>
        </w:rPr>
        <w:t>340860</w:t>
      </w:r>
      <w:r>
        <w:rPr>
          <w:rFonts w:hint="eastAsia" w:ascii="仿宋_GB2312" w:hAnsi="仿宋_GB2312" w:eastAsia="仿宋_GB2312" w:cs="仿宋_GB2312"/>
          <w:bCs/>
          <w:sz w:val="32"/>
          <w:szCs w:val="32"/>
          <w:highlight w:val="none"/>
          <w:lang w:eastAsia="zh-CN"/>
        </w:rPr>
        <w:t>元（</w:t>
      </w:r>
      <w:r>
        <w:rPr>
          <w:rFonts w:hint="eastAsia" w:ascii="仿宋_GB2312" w:hAnsi="仿宋_GB2312" w:eastAsia="仿宋_GB2312" w:cs="仿宋_GB2312"/>
          <w:bCs/>
          <w:sz w:val="32"/>
          <w:szCs w:val="32"/>
          <w:highlight w:val="none"/>
          <w:lang w:val="en-US" w:eastAsia="zh-CN"/>
        </w:rPr>
        <w:t>含增值税）</w:t>
      </w:r>
      <w:r>
        <w:rPr>
          <w:rFonts w:hint="eastAsia" w:ascii="仿宋_GB2312" w:hAnsi="仿宋_GB2312" w:eastAsia="仿宋_GB2312" w:cs="仿宋_GB2312"/>
          <w:bCs/>
          <w:sz w:val="32"/>
          <w:szCs w:val="32"/>
          <w:highlight w:val="none"/>
          <w:lang w:eastAsia="zh-CN"/>
        </w:rPr>
        <w:t>。</w:t>
      </w:r>
    </w:p>
    <w:p w14:paraId="708B5EC8">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（二）本项目分项限价要求及随附条件见下表：</w:t>
      </w:r>
    </w:p>
    <w:tbl>
      <w:tblPr>
        <w:tblStyle w:val="15"/>
        <w:tblpPr w:leftFromText="180" w:rightFromText="180" w:vertAnchor="text" w:horzAnchor="page" w:tblpX="1250" w:tblpY="232"/>
        <w:tblOverlap w:val="never"/>
        <w:tblW w:w="966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1407"/>
        <w:gridCol w:w="2083"/>
        <w:gridCol w:w="3976"/>
        <w:gridCol w:w="13"/>
      </w:tblGrid>
      <w:tr w14:paraId="19A66B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79" w:hRule="atLeast"/>
        </w:trPr>
        <w:tc>
          <w:tcPr>
            <w:tcW w:w="2188" w:type="dxa"/>
            <w:tcBorders>
              <w:tl2br w:val="nil"/>
              <w:tr2bl w:val="nil"/>
            </w:tcBorders>
            <w:noWrap w:val="0"/>
            <w:tcMar>
              <w:top w:w="15" w:type="dxa"/>
              <w:left w:w="15" w:type="dxa"/>
              <w:right w:w="15" w:type="dxa"/>
            </w:tcMar>
            <w:vAlign w:val="center"/>
          </w:tcPr>
          <w:p w14:paraId="73F7B5C5">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体检套餐标准限价</w:t>
            </w:r>
          </w:p>
        </w:tc>
        <w:tc>
          <w:tcPr>
            <w:tcW w:w="1407" w:type="dxa"/>
            <w:tcBorders>
              <w:tl2br w:val="nil"/>
              <w:tr2bl w:val="nil"/>
            </w:tcBorders>
            <w:noWrap w:val="0"/>
            <w:tcMar>
              <w:top w:w="15" w:type="dxa"/>
              <w:left w:w="15" w:type="dxa"/>
              <w:right w:w="15" w:type="dxa"/>
            </w:tcMar>
            <w:vAlign w:val="center"/>
          </w:tcPr>
          <w:p w14:paraId="4B92FE35">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预计体检人数</w:t>
            </w:r>
          </w:p>
        </w:tc>
        <w:tc>
          <w:tcPr>
            <w:tcW w:w="2083" w:type="dxa"/>
            <w:tcBorders>
              <w:tl2br w:val="nil"/>
              <w:tr2bl w:val="nil"/>
            </w:tcBorders>
            <w:noWrap w:val="0"/>
            <w:tcMar>
              <w:top w:w="15" w:type="dxa"/>
              <w:left w:w="15" w:type="dxa"/>
              <w:right w:w="15" w:type="dxa"/>
            </w:tcMar>
            <w:vAlign w:val="center"/>
          </w:tcPr>
          <w:p w14:paraId="775BBAB8">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服务地点</w:t>
            </w:r>
          </w:p>
        </w:tc>
        <w:tc>
          <w:tcPr>
            <w:tcW w:w="3976" w:type="dxa"/>
            <w:tcBorders>
              <w:tl2br w:val="nil"/>
              <w:tr2bl w:val="nil"/>
            </w:tcBorders>
            <w:noWrap w:val="0"/>
            <w:tcMar>
              <w:top w:w="15" w:type="dxa"/>
              <w:left w:w="15" w:type="dxa"/>
              <w:right w:w="15" w:type="dxa"/>
            </w:tcMar>
            <w:vAlign w:val="center"/>
          </w:tcPr>
          <w:p w14:paraId="348FB970">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备注</w:t>
            </w:r>
          </w:p>
        </w:tc>
      </w:tr>
      <w:tr w14:paraId="2AB3FE6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12" w:hRule="atLeast"/>
        </w:trPr>
        <w:tc>
          <w:tcPr>
            <w:tcW w:w="2188" w:type="dxa"/>
            <w:tcBorders>
              <w:tl2br w:val="nil"/>
              <w:tr2bl w:val="nil"/>
            </w:tcBorders>
            <w:noWrap w:val="0"/>
            <w:tcMar>
              <w:top w:w="15" w:type="dxa"/>
              <w:left w:w="15" w:type="dxa"/>
              <w:right w:w="15" w:type="dxa"/>
            </w:tcMar>
            <w:vAlign w:val="center"/>
          </w:tcPr>
          <w:p w14:paraId="26C8AB62">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标准不超过390元/人</w:t>
            </w:r>
          </w:p>
        </w:tc>
        <w:tc>
          <w:tcPr>
            <w:tcW w:w="1407" w:type="dxa"/>
            <w:tcBorders>
              <w:tl2br w:val="nil"/>
              <w:tr2bl w:val="nil"/>
            </w:tcBorders>
            <w:noWrap w:val="0"/>
            <w:tcMar>
              <w:top w:w="15" w:type="dxa"/>
              <w:left w:w="15" w:type="dxa"/>
              <w:right w:w="15" w:type="dxa"/>
            </w:tcMar>
            <w:vAlign w:val="center"/>
          </w:tcPr>
          <w:p w14:paraId="3DE5ED3A">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cs="宋体"/>
                <w:color w:val="auto"/>
                <w:kern w:val="0"/>
                <w:sz w:val="22"/>
                <w:szCs w:val="22"/>
                <w:highlight w:val="none"/>
                <w:lang w:val="en-US" w:eastAsia="zh-CN"/>
              </w:rPr>
              <w:t>474</w:t>
            </w:r>
          </w:p>
        </w:tc>
        <w:tc>
          <w:tcPr>
            <w:tcW w:w="2083" w:type="dxa"/>
            <w:tcBorders>
              <w:tl2br w:val="nil"/>
              <w:tr2bl w:val="nil"/>
            </w:tcBorders>
            <w:noWrap w:val="0"/>
            <w:tcMar>
              <w:top w:w="15" w:type="dxa"/>
              <w:left w:w="15" w:type="dxa"/>
              <w:right w:w="15" w:type="dxa"/>
            </w:tcMar>
            <w:vAlign w:val="center"/>
          </w:tcPr>
          <w:p w14:paraId="20A0B89F">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kern w:val="0"/>
                <w:sz w:val="22"/>
                <w:szCs w:val="22"/>
                <w:highlight w:val="none"/>
                <w:lang w:val="en-US" w:eastAsia="zh-CN"/>
              </w:rPr>
              <w:t>深圳、全国若干地点</w:t>
            </w:r>
          </w:p>
        </w:tc>
        <w:tc>
          <w:tcPr>
            <w:tcW w:w="3976" w:type="dxa"/>
            <w:tcBorders>
              <w:tl2br w:val="nil"/>
              <w:tr2bl w:val="nil"/>
            </w:tcBorders>
            <w:noWrap w:val="0"/>
            <w:tcMar>
              <w:top w:w="15" w:type="dxa"/>
              <w:left w:w="15" w:type="dxa"/>
              <w:right w:w="15" w:type="dxa"/>
            </w:tcMar>
            <w:vAlign w:val="center"/>
          </w:tcPr>
          <w:p w14:paraId="0836A90E">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男</w:t>
            </w:r>
            <w:r>
              <w:rPr>
                <w:rFonts w:hint="eastAsia" w:ascii="宋体" w:hAnsi="宋体" w:cs="宋体"/>
                <w:bCs/>
                <w:color w:val="000000"/>
                <w:kern w:val="0"/>
                <w:sz w:val="22"/>
                <w:szCs w:val="22"/>
                <w:highlight w:val="none"/>
                <w:lang w:val="en-US" w:eastAsia="zh-CN"/>
              </w:rPr>
              <w:t>86</w:t>
            </w:r>
            <w:r>
              <w:rPr>
                <w:rFonts w:hint="eastAsia" w:ascii="宋体" w:hAnsi="宋体" w:eastAsia="宋体" w:cs="宋体"/>
                <w:bCs/>
                <w:color w:val="000000"/>
                <w:kern w:val="0"/>
                <w:sz w:val="22"/>
                <w:szCs w:val="22"/>
                <w:highlight w:val="none"/>
              </w:rPr>
              <w:t>人，女</w:t>
            </w:r>
            <w:r>
              <w:rPr>
                <w:rFonts w:hint="eastAsia" w:ascii="宋体" w:hAnsi="宋体" w:cs="宋体"/>
                <w:bCs/>
                <w:color w:val="000000"/>
                <w:kern w:val="0"/>
                <w:sz w:val="22"/>
                <w:szCs w:val="22"/>
                <w:highlight w:val="none"/>
                <w:lang w:val="en-US" w:eastAsia="zh-CN"/>
              </w:rPr>
              <w:t>388</w:t>
            </w:r>
            <w:r>
              <w:rPr>
                <w:rFonts w:hint="eastAsia" w:ascii="宋体" w:hAnsi="宋体" w:eastAsia="宋体" w:cs="宋体"/>
                <w:bCs/>
                <w:color w:val="000000"/>
                <w:kern w:val="0"/>
                <w:sz w:val="22"/>
                <w:szCs w:val="22"/>
                <w:highlight w:val="none"/>
              </w:rPr>
              <w:t>人（未婚</w:t>
            </w:r>
            <w:r>
              <w:rPr>
                <w:rFonts w:hint="eastAsia" w:ascii="宋体" w:hAnsi="宋体" w:cs="宋体"/>
                <w:bCs/>
                <w:color w:val="000000"/>
                <w:kern w:val="0"/>
                <w:sz w:val="22"/>
                <w:szCs w:val="22"/>
                <w:highlight w:val="none"/>
                <w:lang w:val="en-US" w:eastAsia="zh-CN"/>
              </w:rPr>
              <w:t>169</w:t>
            </w:r>
            <w:r>
              <w:rPr>
                <w:rFonts w:hint="eastAsia" w:ascii="宋体" w:hAnsi="宋体" w:eastAsia="宋体" w:cs="宋体"/>
                <w:bCs/>
                <w:color w:val="000000"/>
                <w:kern w:val="0"/>
                <w:sz w:val="22"/>
                <w:szCs w:val="22"/>
                <w:highlight w:val="none"/>
              </w:rPr>
              <w:t>，已婚</w:t>
            </w:r>
            <w:r>
              <w:rPr>
                <w:rFonts w:hint="eastAsia" w:ascii="宋体" w:hAnsi="宋体" w:cs="宋体"/>
                <w:bCs/>
                <w:color w:val="000000"/>
                <w:kern w:val="0"/>
                <w:sz w:val="22"/>
                <w:szCs w:val="22"/>
                <w:highlight w:val="none"/>
                <w:lang w:val="en-US" w:eastAsia="zh-CN"/>
              </w:rPr>
              <w:t>219</w:t>
            </w:r>
            <w:r>
              <w:rPr>
                <w:rFonts w:hint="eastAsia" w:ascii="宋体" w:hAnsi="宋体" w:eastAsia="宋体" w:cs="宋体"/>
                <w:bCs/>
                <w:color w:val="000000"/>
                <w:kern w:val="0"/>
                <w:sz w:val="22"/>
                <w:szCs w:val="22"/>
                <w:highlight w:val="none"/>
              </w:rPr>
              <w:t>）</w:t>
            </w:r>
          </w:p>
        </w:tc>
      </w:tr>
      <w:tr w14:paraId="25AE15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88" w:type="dxa"/>
            <w:tcBorders>
              <w:tl2br w:val="nil"/>
              <w:tr2bl w:val="nil"/>
            </w:tcBorders>
            <w:noWrap w:val="0"/>
            <w:tcMar>
              <w:top w:w="15" w:type="dxa"/>
              <w:left w:w="15" w:type="dxa"/>
              <w:right w:w="15" w:type="dxa"/>
            </w:tcMar>
            <w:vAlign w:val="center"/>
          </w:tcPr>
          <w:p w14:paraId="4D18965B">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Cs/>
                <w:color w:val="000000"/>
                <w:kern w:val="0"/>
                <w:sz w:val="22"/>
                <w:szCs w:val="22"/>
                <w:highlight w:val="none"/>
              </w:rPr>
              <w:t>标准不超过</w:t>
            </w:r>
            <w:r>
              <w:rPr>
                <w:rFonts w:hint="eastAsia" w:ascii="宋体" w:hAnsi="宋体" w:cs="宋体"/>
                <w:bCs/>
                <w:color w:val="000000"/>
                <w:kern w:val="0"/>
                <w:sz w:val="22"/>
                <w:szCs w:val="22"/>
                <w:highlight w:val="none"/>
                <w:lang w:val="en-US" w:eastAsia="zh-CN"/>
              </w:rPr>
              <w:t>500</w:t>
            </w:r>
            <w:r>
              <w:rPr>
                <w:rFonts w:hint="eastAsia" w:ascii="宋体" w:hAnsi="宋体" w:eastAsia="宋体" w:cs="宋体"/>
                <w:bCs/>
                <w:color w:val="000000"/>
                <w:kern w:val="0"/>
                <w:sz w:val="22"/>
                <w:szCs w:val="22"/>
                <w:highlight w:val="none"/>
              </w:rPr>
              <w:t>元/人</w:t>
            </w:r>
          </w:p>
        </w:tc>
        <w:tc>
          <w:tcPr>
            <w:tcW w:w="1407" w:type="dxa"/>
            <w:tcBorders>
              <w:tl2br w:val="nil"/>
              <w:tr2bl w:val="nil"/>
            </w:tcBorders>
            <w:noWrap w:val="0"/>
            <w:tcMar>
              <w:top w:w="15" w:type="dxa"/>
              <w:left w:w="15" w:type="dxa"/>
              <w:right w:w="15" w:type="dxa"/>
            </w:tcMar>
            <w:vAlign w:val="center"/>
          </w:tcPr>
          <w:p w14:paraId="7E7100E7">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cs="宋体"/>
                <w:b/>
                <w:bCs w:val="0"/>
                <w:color w:val="000000"/>
                <w:kern w:val="0"/>
                <w:sz w:val="22"/>
                <w:szCs w:val="22"/>
                <w:highlight w:val="none"/>
                <w:lang w:val="en-US" w:eastAsia="zh-CN"/>
              </w:rPr>
            </w:pPr>
            <w:r>
              <w:rPr>
                <w:rFonts w:hint="eastAsia" w:ascii="宋体" w:hAnsi="宋体" w:cs="宋体"/>
                <w:color w:val="auto"/>
                <w:kern w:val="0"/>
                <w:sz w:val="22"/>
                <w:szCs w:val="22"/>
                <w:highlight w:val="none"/>
                <w:lang w:val="en-US" w:eastAsia="zh-CN"/>
              </w:rPr>
              <w:t>312</w:t>
            </w:r>
          </w:p>
        </w:tc>
        <w:tc>
          <w:tcPr>
            <w:tcW w:w="2083" w:type="dxa"/>
            <w:tcBorders>
              <w:tl2br w:val="nil"/>
              <w:tr2bl w:val="nil"/>
            </w:tcBorders>
            <w:noWrap w:val="0"/>
            <w:tcMar>
              <w:top w:w="15" w:type="dxa"/>
              <w:left w:w="15" w:type="dxa"/>
              <w:right w:w="15" w:type="dxa"/>
            </w:tcMar>
            <w:vAlign w:val="center"/>
          </w:tcPr>
          <w:p w14:paraId="59340BE4">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eastAsia" w:ascii="宋体" w:hAnsi="宋体" w:eastAsia="宋体" w:cs="宋体"/>
                <w:bCs/>
                <w:color w:val="000000"/>
                <w:kern w:val="0"/>
                <w:sz w:val="22"/>
                <w:szCs w:val="22"/>
                <w:highlight w:val="none"/>
              </w:rPr>
            </w:pPr>
            <w:r>
              <w:rPr>
                <w:rFonts w:hint="eastAsia" w:ascii="宋体" w:hAnsi="宋体" w:cs="宋体"/>
                <w:bCs/>
                <w:color w:val="auto"/>
                <w:kern w:val="0"/>
                <w:sz w:val="22"/>
                <w:szCs w:val="22"/>
                <w:highlight w:val="none"/>
                <w:lang w:val="en-US" w:eastAsia="zh-CN"/>
              </w:rPr>
              <w:t>深圳、全国若干地点</w:t>
            </w:r>
          </w:p>
        </w:tc>
        <w:tc>
          <w:tcPr>
            <w:tcW w:w="3989" w:type="dxa"/>
            <w:gridSpan w:val="2"/>
            <w:tcBorders>
              <w:tl2br w:val="nil"/>
              <w:tr2bl w:val="nil"/>
            </w:tcBorders>
            <w:noWrap w:val="0"/>
            <w:tcMar>
              <w:top w:w="15" w:type="dxa"/>
              <w:left w:w="15" w:type="dxa"/>
              <w:right w:w="15" w:type="dxa"/>
            </w:tcMar>
            <w:vAlign w:val="center"/>
          </w:tcPr>
          <w:p w14:paraId="0BBA83FF">
            <w:pPr>
              <w:keepNext w:val="0"/>
              <w:keepLines w:val="0"/>
              <w:pageBreakBefore w:val="0"/>
              <w:widowControl w:val="0"/>
              <w:kinsoku/>
              <w:wordWrap w:val="0"/>
              <w:overflowPunct/>
              <w:topLinePunct w:val="0"/>
              <w:autoSpaceDE/>
              <w:autoSpaceDN/>
              <w:bidi w:val="0"/>
              <w:adjustRightInd/>
              <w:snapToGrid/>
              <w:spacing w:line="280" w:lineRule="exact"/>
              <w:jc w:val="left"/>
              <w:textAlignment w:val="center"/>
              <w:rPr>
                <w:rFonts w:hint="eastAsia" w:ascii="宋体" w:hAnsi="宋体" w:cs="宋体"/>
                <w:bCs/>
                <w:color w:val="000000"/>
                <w:sz w:val="22"/>
                <w:szCs w:val="22"/>
                <w:highlight w:val="none"/>
                <w:lang w:val="en-US" w:eastAsia="zh-CN"/>
              </w:rPr>
            </w:pPr>
            <w:r>
              <w:rPr>
                <w:rFonts w:hint="eastAsia" w:ascii="宋体" w:hAnsi="宋体" w:eastAsia="宋体" w:cs="宋体"/>
                <w:bCs/>
                <w:color w:val="000000"/>
                <w:kern w:val="0"/>
                <w:sz w:val="22"/>
                <w:szCs w:val="22"/>
                <w:highlight w:val="none"/>
              </w:rPr>
              <w:t>男</w:t>
            </w:r>
            <w:r>
              <w:rPr>
                <w:rFonts w:hint="eastAsia" w:ascii="宋体" w:hAnsi="宋体" w:cs="宋体"/>
                <w:bCs/>
                <w:color w:val="000000"/>
                <w:kern w:val="0"/>
                <w:sz w:val="22"/>
                <w:szCs w:val="22"/>
                <w:highlight w:val="none"/>
                <w:lang w:val="en-US" w:eastAsia="zh-CN"/>
              </w:rPr>
              <w:t>118</w:t>
            </w:r>
            <w:r>
              <w:rPr>
                <w:rFonts w:hint="eastAsia" w:ascii="宋体" w:hAnsi="宋体" w:eastAsia="宋体" w:cs="宋体"/>
                <w:bCs/>
                <w:color w:val="000000"/>
                <w:kern w:val="0"/>
                <w:sz w:val="22"/>
                <w:szCs w:val="22"/>
                <w:highlight w:val="none"/>
              </w:rPr>
              <w:t>人，女</w:t>
            </w:r>
            <w:r>
              <w:rPr>
                <w:rFonts w:hint="eastAsia" w:ascii="宋体" w:hAnsi="宋体" w:cs="宋体"/>
                <w:bCs/>
                <w:color w:val="000000"/>
                <w:kern w:val="0"/>
                <w:sz w:val="22"/>
                <w:szCs w:val="22"/>
                <w:highlight w:val="none"/>
                <w:lang w:val="en-US" w:eastAsia="zh-CN"/>
              </w:rPr>
              <w:t>194</w:t>
            </w:r>
            <w:r>
              <w:rPr>
                <w:rFonts w:hint="eastAsia" w:ascii="宋体" w:hAnsi="宋体" w:eastAsia="宋体" w:cs="宋体"/>
                <w:bCs/>
                <w:color w:val="000000"/>
                <w:kern w:val="0"/>
                <w:sz w:val="22"/>
                <w:szCs w:val="22"/>
                <w:highlight w:val="none"/>
              </w:rPr>
              <w:t>人（未婚</w:t>
            </w:r>
            <w:r>
              <w:rPr>
                <w:rFonts w:hint="eastAsia" w:ascii="宋体" w:hAnsi="宋体" w:cs="宋体"/>
                <w:bCs/>
                <w:color w:val="000000"/>
                <w:kern w:val="0"/>
                <w:sz w:val="22"/>
                <w:szCs w:val="22"/>
                <w:highlight w:val="none"/>
                <w:lang w:val="en-US" w:eastAsia="zh-CN"/>
              </w:rPr>
              <w:t>77</w:t>
            </w:r>
            <w:r>
              <w:rPr>
                <w:rFonts w:hint="eastAsia" w:ascii="宋体" w:hAnsi="宋体" w:eastAsia="宋体" w:cs="宋体"/>
                <w:bCs/>
                <w:color w:val="000000"/>
                <w:kern w:val="0"/>
                <w:sz w:val="22"/>
                <w:szCs w:val="22"/>
                <w:highlight w:val="none"/>
              </w:rPr>
              <w:t>，已婚</w:t>
            </w:r>
            <w:r>
              <w:rPr>
                <w:rFonts w:hint="eastAsia" w:ascii="宋体" w:hAnsi="宋体" w:cs="宋体"/>
                <w:bCs/>
                <w:color w:val="000000"/>
                <w:kern w:val="0"/>
                <w:sz w:val="22"/>
                <w:szCs w:val="22"/>
                <w:highlight w:val="none"/>
                <w:lang w:val="en-US" w:eastAsia="zh-CN"/>
              </w:rPr>
              <w:t>117</w:t>
            </w:r>
            <w:r>
              <w:rPr>
                <w:rFonts w:hint="eastAsia" w:ascii="宋体" w:hAnsi="宋体" w:eastAsia="宋体" w:cs="宋体"/>
                <w:bCs/>
                <w:color w:val="000000"/>
                <w:kern w:val="0"/>
                <w:sz w:val="22"/>
                <w:szCs w:val="22"/>
                <w:highlight w:val="none"/>
              </w:rPr>
              <w:t>）</w:t>
            </w:r>
          </w:p>
        </w:tc>
      </w:tr>
      <w:tr w14:paraId="6527C3B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88" w:type="dxa"/>
            <w:tcBorders>
              <w:tl2br w:val="nil"/>
              <w:tr2bl w:val="nil"/>
            </w:tcBorders>
            <w:noWrap w:val="0"/>
            <w:tcMar>
              <w:top w:w="15" w:type="dxa"/>
              <w:left w:w="15" w:type="dxa"/>
              <w:right w:w="15" w:type="dxa"/>
            </w:tcMar>
            <w:vAlign w:val="center"/>
          </w:tcPr>
          <w:p w14:paraId="2B5CADF1">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kern w:val="0"/>
                <w:sz w:val="22"/>
                <w:szCs w:val="22"/>
                <w:highlight w:val="none"/>
              </w:rPr>
            </w:pPr>
            <w:r>
              <w:rPr>
                <w:rFonts w:hint="eastAsia" w:ascii="宋体" w:hAnsi="宋体" w:eastAsia="宋体" w:cs="宋体"/>
                <w:b/>
                <w:bCs/>
                <w:color w:val="000000"/>
                <w:kern w:val="0"/>
                <w:sz w:val="22"/>
                <w:szCs w:val="22"/>
                <w:highlight w:val="none"/>
              </w:rPr>
              <w:t>合计</w:t>
            </w:r>
          </w:p>
        </w:tc>
        <w:tc>
          <w:tcPr>
            <w:tcW w:w="1407" w:type="dxa"/>
            <w:tcBorders>
              <w:tl2br w:val="nil"/>
              <w:tr2bl w:val="nil"/>
            </w:tcBorders>
            <w:noWrap w:val="0"/>
            <w:tcMar>
              <w:top w:w="15" w:type="dxa"/>
              <w:left w:w="15" w:type="dxa"/>
              <w:right w:w="15" w:type="dxa"/>
            </w:tcMar>
            <w:vAlign w:val="center"/>
          </w:tcPr>
          <w:p w14:paraId="69B892DE">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eastAsia="宋体" w:cs="宋体"/>
                <w:bCs/>
                <w:color w:val="000000"/>
                <w:kern w:val="0"/>
                <w:sz w:val="22"/>
                <w:szCs w:val="22"/>
                <w:highlight w:val="none"/>
                <w:lang w:val="en-US" w:eastAsia="zh-CN"/>
              </w:rPr>
            </w:pPr>
            <w:r>
              <w:rPr>
                <w:rFonts w:hint="eastAsia" w:ascii="宋体" w:hAnsi="宋体" w:cs="宋体"/>
                <w:b/>
                <w:bCs w:val="0"/>
                <w:color w:val="000000"/>
                <w:kern w:val="0"/>
                <w:sz w:val="22"/>
                <w:szCs w:val="22"/>
                <w:highlight w:val="none"/>
                <w:lang w:val="en-US" w:eastAsia="zh-CN"/>
              </w:rPr>
              <w:t>786</w:t>
            </w:r>
          </w:p>
        </w:tc>
        <w:tc>
          <w:tcPr>
            <w:tcW w:w="2083" w:type="dxa"/>
            <w:tcBorders>
              <w:tl2br w:val="nil"/>
              <w:tr2bl w:val="nil"/>
            </w:tcBorders>
            <w:noWrap w:val="0"/>
            <w:tcMar>
              <w:top w:w="15" w:type="dxa"/>
              <w:left w:w="15" w:type="dxa"/>
              <w:right w:w="15" w:type="dxa"/>
            </w:tcMar>
            <w:vAlign w:val="center"/>
          </w:tcPr>
          <w:p w14:paraId="7A742468">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w:t>
            </w:r>
          </w:p>
        </w:tc>
        <w:tc>
          <w:tcPr>
            <w:tcW w:w="3989" w:type="dxa"/>
            <w:gridSpan w:val="2"/>
            <w:tcBorders>
              <w:tl2br w:val="nil"/>
              <w:tr2bl w:val="nil"/>
            </w:tcBorders>
            <w:noWrap w:val="0"/>
            <w:tcMar>
              <w:top w:w="15" w:type="dxa"/>
              <w:left w:w="15" w:type="dxa"/>
              <w:right w:w="15" w:type="dxa"/>
            </w:tcMar>
            <w:vAlign w:val="center"/>
          </w:tcPr>
          <w:p w14:paraId="689CC739">
            <w:pPr>
              <w:keepNext w:val="0"/>
              <w:keepLines w:val="0"/>
              <w:pageBreakBefore w:val="0"/>
              <w:widowControl w:val="0"/>
              <w:kinsoku/>
              <w:wordWrap w:val="0"/>
              <w:overflowPunct/>
              <w:topLinePunct w:val="0"/>
              <w:autoSpaceDE/>
              <w:autoSpaceDN/>
              <w:bidi w:val="0"/>
              <w:adjustRightInd/>
              <w:snapToGrid/>
              <w:spacing w:line="280" w:lineRule="exact"/>
              <w:ind w:firstLine="220" w:firstLineChars="10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cs="宋体"/>
                <w:bCs/>
                <w:color w:val="000000"/>
                <w:sz w:val="22"/>
                <w:szCs w:val="22"/>
                <w:highlight w:val="none"/>
                <w:lang w:val="en-US" w:eastAsia="zh-CN"/>
              </w:rPr>
              <w:t>/</w:t>
            </w:r>
          </w:p>
        </w:tc>
      </w:tr>
      <w:tr w14:paraId="095DFF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98" w:hRule="atLeast"/>
        </w:trPr>
        <w:tc>
          <w:tcPr>
            <w:tcW w:w="9654" w:type="dxa"/>
            <w:gridSpan w:val="4"/>
            <w:tcBorders>
              <w:tl2br w:val="nil"/>
              <w:tr2bl w:val="nil"/>
            </w:tcBorders>
            <w:noWrap w:val="0"/>
            <w:tcMar>
              <w:top w:w="15" w:type="dxa"/>
              <w:left w:w="15" w:type="dxa"/>
              <w:right w:w="15" w:type="dxa"/>
            </w:tcMar>
            <w:vAlign w:val="center"/>
          </w:tcPr>
          <w:p w14:paraId="0A271F1C">
            <w:pPr>
              <w:keepNext w:val="0"/>
              <w:keepLines w:val="0"/>
              <w:pageBreakBefore w:val="0"/>
              <w:widowControl w:val="0"/>
              <w:kinsoku/>
              <w:wordWrap w:val="0"/>
              <w:overflowPunct/>
              <w:topLinePunct w:val="0"/>
              <w:autoSpaceDE/>
              <w:autoSpaceDN/>
              <w:bidi w:val="0"/>
              <w:adjustRightInd/>
              <w:snapToGrid/>
              <w:spacing w:line="280" w:lineRule="exact"/>
              <w:ind w:firstLine="440" w:firstLineChars="200"/>
              <w:jc w:val="left"/>
              <w:textAlignment w:val="center"/>
              <w:rPr>
                <w:rFonts w:hint="eastAsia" w:ascii="宋体" w:hAnsi="宋体" w:eastAsia="宋体" w:cs="宋体"/>
                <w:b w:val="0"/>
                <w:bCs/>
                <w:color w:val="000000"/>
                <w:kern w:val="0"/>
                <w:sz w:val="22"/>
                <w:szCs w:val="22"/>
                <w:highlight w:val="none"/>
                <w:lang w:val="en-US" w:eastAsia="zh-CN"/>
              </w:rPr>
            </w:pPr>
            <w:r>
              <w:rPr>
                <w:rFonts w:hint="eastAsia" w:ascii="宋体" w:hAnsi="宋体" w:eastAsia="宋体" w:cs="宋体"/>
                <w:b w:val="0"/>
                <w:bCs/>
                <w:color w:val="000000"/>
                <w:kern w:val="0"/>
                <w:sz w:val="22"/>
                <w:szCs w:val="22"/>
                <w:highlight w:val="none"/>
                <w:lang w:val="en-US" w:eastAsia="zh-CN"/>
              </w:rPr>
              <w:t>说明：</w:t>
            </w:r>
          </w:p>
          <w:p w14:paraId="67183F9F">
            <w:pPr>
              <w:keepNext w:val="0"/>
              <w:keepLines w:val="0"/>
              <w:pageBreakBefore w:val="0"/>
              <w:widowControl w:val="0"/>
              <w:kinsoku/>
              <w:wordWrap w:val="0"/>
              <w:overflowPunct/>
              <w:topLinePunct w:val="0"/>
              <w:autoSpaceDE/>
              <w:autoSpaceDN/>
              <w:bidi w:val="0"/>
              <w:adjustRightInd/>
              <w:snapToGrid/>
              <w:spacing w:line="280" w:lineRule="exact"/>
              <w:ind w:firstLine="440" w:firstLineChars="200"/>
              <w:jc w:val="left"/>
              <w:textAlignment w:val="center"/>
              <w:rPr>
                <w:rFonts w:hint="eastAsia" w:ascii="宋体" w:hAnsi="宋体" w:eastAsia="宋体" w:cs="宋体"/>
                <w:b w:val="0"/>
                <w:bCs/>
                <w:color w:val="000000"/>
                <w:kern w:val="0"/>
                <w:sz w:val="22"/>
                <w:szCs w:val="22"/>
                <w:highlight w:val="none"/>
                <w:lang w:eastAsia="zh-CN"/>
              </w:rPr>
            </w:pPr>
            <w:r>
              <w:rPr>
                <w:rFonts w:hint="eastAsia" w:ascii="宋体" w:hAnsi="宋体" w:cs="宋体"/>
                <w:b w:val="0"/>
                <w:bCs/>
                <w:color w:val="000000"/>
                <w:kern w:val="0"/>
                <w:sz w:val="22"/>
                <w:szCs w:val="22"/>
                <w:highlight w:val="none"/>
                <w:lang w:val="en-US" w:eastAsia="zh-CN"/>
              </w:rPr>
              <w:t>1.</w:t>
            </w:r>
            <w:r>
              <w:rPr>
                <w:rFonts w:hint="eastAsia" w:ascii="宋体" w:hAnsi="宋体" w:eastAsia="宋体" w:cs="宋体"/>
                <w:b w:val="0"/>
                <w:bCs/>
                <w:color w:val="000000"/>
                <w:kern w:val="0"/>
                <w:sz w:val="22"/>
                <w:szCs w:val="22"/>
                <w:highlight w:val="none"/>
                <w:lang w:eastAsia="zh-CN"/>
              </w:rPr>
              <w:t>本文件内所有</w:t>
            </w:r>
            <w:r>
              <w:rPr>
                <w:rFonts w:hint="eastAsia" w:ascii="宋体" w:hAnsi="宋体" w:eastAsia="宋体" w:cs="宋体"/>
                <w:b w:val="0"/>
                <w:bCs/>
                <w:color w:val="000000"/>
                <w:kern w:val="0"/>
                <w:sz w:val="22"/>
                <w:szCs w:val="22"/>
                <w:highlight w:val="none"/>
                <w:lang w:val="en-US" w:eastAsia="zh-CN"/>
              </w:rPr>
              <w:t>预计</w:t>
            </w:r>
            <w:r>
              <w:rPr>
                <w:rFonts w:hint="eastAsia" w:ascii="宋体" w:hAnsi="宋体" w:eastAsia="宋体" w:cs="宋体"/>
                <w:b w:val="0"/>
                <w:bCs/>
                <w:color w:val="000000"/>
                <w:kern w:val="0"/>
                <w:sz w:val="22"/>
                <w:szCs w:val="22"/>
                <w:highlight w:val="none"/>
                <w:lang w:eastAsia="zh-CN"/>
              </w:rPr>
              <w:t>人数为</w:t>
            </w:r>
            <w:r>
              <w:rPr>
                <w:rFonts w:hint="eastAsia" w:ascii="宋体" w:hAnsi="宋体" w:cs="宋体"/>
                <w:b w:val="0"/>
                <w:bCs/>
                <w:color w:val="000000"/>
                <w:kern w:val="0"/>
                <w:sz w:val="22"/>
                <w:szCs w:val="22"/>
                <w:highlight w:val="none"/>
                <w:lang w:val="en-US" w:eastAsia="zh-CN"/>
              </w:rPr>
              <w:t>招标</w:t>
            </w:r>
            <w:r>
              <w:rPr>
                <w:rFonts w:hint="eastAsia" w:ascii="宋体" w:hAnsi="宋体" w:eastAsia="宋体" w:cs="宋体"/>
                <w:b w:val="0"/>
                <w:bCs/>
                <w:color w:val="000000"/>
                <w:kern w:val="0"/>
                <w:sz w:val="22"/>
                <w:szCs w:val="22"/>
                <w:highlight w:val="none"/>
                <w:lang w:eastAsia="zh-CN"/>
              </w:rPr>
              <w:t>人根据目前需求情况进行的预估，如后续发生变化的，以实际情况进行结算。</w:t>
            </w:r>
          </w:p>
          <w:p w14:paraId="359385C3">
            <w:pPr>
              <w:keepNext w:val="0"/>
              <w:keepLines w:val="0"/>
              <w:pageBreakBefore w:val="0"/>
              <w:widowControl w:val="0"/>
              <w:kinsoku/>
              <w:wordWrap w:val="0"/>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b/>
                <w:color w:val="000000"/>
                <w:kern w:val="0"/>
                <w:sz w:val="22"/>
                <w:szCs w:val="22"/>
                <w:highlight w:val="none"/>
                <w:lang w:val="en-US" w:eastAsia="zh-CN"/>
              </w:rPr>
            </w:pPr>
            <w:r>
              <w:rPr>
                <w:rFonts w:hint="eastAsia" w:ascii="宋体" w:hAnsi="宋体" w:cs="宋体"/>
                <w:b w:val="0"/>
                <w:bCs/>
                <w:color w:val="000000"/>
                <w:kern w:val="0"/>
                <w:sz w:val="22"/>
                <w:szCs w:val="22"/>
                <w:highlight w:val="none"/>
                <w:lang w:val="en-US" w:eastAsia="zh-CN"/>
              </w:rPr>
              <w:t>2.</w:t>
            </w:r>
            <w:r>
              <w:rPr>
                <w:rFonts w:hint="eastAsia" w:ascii="宋体" w:hAnsi="宋体" w:eastAsia="宋体" w:cs="宋体"/>
                <w:b w:val="0"/>
                <w:bCs/>
                <w:color w:val="000000"/>
                <w:kern w:val="0"/>
                <w:sz w:val="22"/>
                <w:szCs w:val="22"/>
                <w:highlight w:val="none"/>
                <w:lang w:val="en-US" w:eastAsia="zh-CN"/>
              </w:rPr>
              <w:t>全国若干地点：北京、</w:t>
            </w:r>
            <w:r>
              <w:rPr>
                <w:rFonts w:hint="eastAsia" w:ascii="宋体" w:hAnsi="宋体" w:cs="宋体"/>
                <w:b w:val="0"/>
                <w:bCs/>
                <w:color w:val="000000"/>
                <w:kern w:val="0"/>
                <w:sz w:val="22"/>
                <w:szCs w:val="22"/>
                <w:highlight w:val="none"/>
                <w:lang w:val="en-US" w:eastAsia="zh-CN"/>
              </w:rPr>
              <w:t>四川成都、四川德阳、上海、江苏苏州、辽宁大连、广东广州、广东深圳</w:t>
            </w:r>
            <w:r>
              <w:rPr>
                <w:rFonts w:hint="eastAsia" w:ascii="宋体" w:hAnsi="宋体" w:eastAsia="宋体" w:cs="宋体"/>
                <w:b w:val="0"/>
                <w:bCs/>
                <w:color w:val="000000"/>
                <w:kern w:val="0"/>
                <w:sz w:val="22"/>
                <w:szCs w:val="22"/>
                <w:highlight w:val="none"/>
                <w:lang w:val="en-US" w:eastAsia="zh-CN"/>
              </w:rPr>
              <w:t>等地区。</w:t>
            </w:r>
          </w:p>
        </w:tc>
      </w:tr>
    </w:tbl>
    <w:p w14:paraId="5F9ED8F4">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1.投标人应当根据招标人外派员工性别、年龄，分项限价设计适宜于招标人外派员工体检套餐并提供体检服务，出具体检结果与报告，提供健康管理建议；</w:t>
      </w:r>
    </w:p>
    <w:p w14:paraId="4DAB5EBA">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firstLine="64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2.投标人应为招标人外派员工提供便利的线上、线下体检预约渠道，同时设置合理体检服务期限，开设企业综合专场，同时为逾期未能参加综合专场体检服务员工提供灵活、机动、合理的体检服务补检；</w:t>
      </w:r>
    </w:p>
    <w:p w14:paraId="0DCFA05C">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firstLine="64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3.投标人应为招标人外派员工至少提供以下内容的随附服务：</w:t>
      </w:r>
    </w:p>
    <w:p w14:paraId="30695837">
      <w:pPr>
        <w:pStyle w:val="6"/>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val="en-US" w:eastAsia="zh-CN"/>
        </w:rPr>
        <w:t>（1）深圳</w:t>
      </w:r>
      <w:r>
        <w:rPr>
          <w:rFonts w:hint="eastAsia" w:ascii="仿宋_GB2312" w:hAnsi="仿宋_GB2312" w:eastAsia="仿宋_GB2312" w:cs="仿宋_GB2312"/>
          <w:b w:val="0"/>
          <w:bCs/>
          <w:sz w:val="32"/>
          <w:szCs w:val="32"/>
          <w:highlight w:val="none"/>
          <w:lang w:eastAsia="zh-CN"/>
        </w:rPr>
        <w:t>非市中心区人员工作地点与体检地点往返程车辆接送(可协调安排集中预约批次）；</w:t>
      </w:r>
    </w:p>
    <w:p w14:paraId="1A10A967">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（2）个人纸质及电子版体检报告；</w:t>
      </w:r>
    </w:p>
    <w:p w14:paraId="1516E51D">
      <w:pPr>
        <w:pStyle w:val="6"/>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（3）体检当日营养早餐；</w:t>
      </w:r>
    </w:p>
    <w:p w14:paraId="02F6B380">
      <w:pPr>
        <w:pStyle w:val="6"/>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（4）疑似肿瘤、癌症，重度心血管疾病，血液、血压、尿酸指标中度以上异常重大阳性结果或复查提示通知；</w:t>
      </w:r>
    </w:p>
    <w:p w14:paraId="59C86F53">
      <w:pPr>
        <w:pStyle w:val="6"/>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（5）肿瘤标志物异常30个工作日内免费复查；</w:t>
      </w:r>
    </w:p>
    <w:p w14:paraId="72294FBF">
      <w:pPr>
        <w:pStyle w:val="6"/>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4.投标人应为招标人提供外派员工团体体检汇总报告；</w:t>
      </w:r>
    </w:p>
    <w:p w14:paraId="5041C3AC">
      <w:pPr>
        <w:pStyle w:val="6"/>
        <w:keepNext w:val="0"/>
        <w:keepLines w:val="0"/>
        <w:pageBreakBefore w:val="0"/>
        <w:widowControl w:val="0"/>
        <w:kinsoku/>
        <w:wordWrap w:val="0"/>
        <w:overflowPunct/>
        <w:topLinePunct w:val="0"/>
        <w:autoSpaceDE/>
        <w:autoSpaceDN/>
        <w:bidi w:val="0"/>
        <w:adjustRightInd/>
        <w:snapToGrid/>
        <w:spacing w:after="0" w:line="560" w:lineRule="exact"/>
        <w:ind w:firstLine="640" w:firstLineChars="200"/>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四、投标人资质要求</w:t>
      </w:r>
    </w:p>
    <w:p w14:paraId="3AA65C5C">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（一）投标人为国内注册（指按国家有关规定要求注册的），经营本次采购内容，具备法人资格的医院，或具备法人资格且具有国家卫生行政部门颁发的《中华人民共和国医疗经营许可证》专业体检机构；</w:t>
      </w:r>
    </w:p>
    <w:p w14:paraId="521F5F32">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（二）投标人具有完全响应本项目采购需求的能力；</w:t>
      </w:r>
    </w:p>
    <w:p w14:paraId="771FC9F9">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（三）投标人无在“信用中国”网站(www.creditchina.gov.cn)、中国政府采购网(www.ccgp.gov.cn)等渠道列入失信被执行人、重大税收违法案件当事人名单、政府采购严重违法失信行为记录名单的情况；</w:t>
      </w:r>
    </w:p>
    <w:p w14:paraId="055EB0B2">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（四）投标人如为与招标人既往合作的供应商，需满足招标人关于供应商的管理规定，同时既往三年内无重大事故、服务投诉或质量不符合记录；</w:t>
      </w:r>
    </w:p>
    <w:p w14:paraId="4E5580ED">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（五）投标人能够开具符合国家法律法规规定的增值税发票，如所提供的产品或服务税率不同，须按照相应税率分别开具发票；</w:t>
      </w:r>
    </w:p>
    <w:p w14:paraId="3F8834CF">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本项目不接受联合体竞标或分标段投标。投标人应如实提供资质信息及随附证明文件，不得弄虚作假，提供虚假资质信息或虚假的随附证明文件一经查实，取消本项目投标资格，同时三年内不得参加招标人其他项目招标或采购。</w:t>
      </w:r>
    </w:p>
    <w:p w14:paraId="2C9C501E">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default"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五、具体内容</w:t>
      </w:r>
    </w:p>
    <w:p w14:paraId="33C1E57A">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left"/>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见《深圳市鹏劳人力资源管理有限公司2024年度外派员工健康体检服务采购项目（二次）招标文件》）（附件2）</w:t>
      </w:r>
    </w:p>
    <w:p w14:paraId="4F03678B">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leftChars="0" w:firstLine="640" w:firstLineChars="200"/>
        <w:jc w:val="both"/>
        <w:textAlignment w:val="auto"/>
        <w:rPr>
          <w:rFonts w:hint="eastAsia" w:ascii="仿宋" w:hAnsi="仿宋" w:eastAsia="仿宋" w:cs="仿宋"/>
          <w:bCs/>
          <w:sz w:val="32"/>
          <w:szCs w:val="32"/>
          <w:highlight w:val="none"/>
          <w:lang w:val="en-US" w:eastAsia="zh-CN"/>
        </w:rPr>
      </w:pPr>
      <w:r>
        <w:rPr>
          <w:rFonts w:hint="eastAsia" w:ascii="仿宋" w:hAnsi="仿宋" w:eastAsia="仿宋" w:cs="仿宋"/>
          <w:bCs/>
          <w:sz w:val="32"/>
          <w:szCs w:val="32"/>
          <w:highlight w:val="none"/>
          <w:lang w:val="en-US" w:eastAsia="zh-CN"/>
        </w:rPr>
        <w:t>有意参与投标的供方请于2024年10月8日12时前向招标人列示联系邮箱（</w:t>
      </w:r>
      <w:r>
        <w:rPr>
          <w:rFonts w:hint="eastAsia" w:ascii="仿宋" w:hAnsi="仿宋" w:eastAsia="仿宋" w:cs="仿宋"/>
          <w:b w:val="0"/>
          <w:bCs/>
          <w:color w:val="auto"/>
          <w:sz w:val="32"/>
          <w:szCs w:val="32"/>
          <w:highlight w:val="none"/>
          <w:u w:val="none"/>
          <w:lang w:val="en-US" w:eastAsia="zh-CN"/>
        </w:rPr>
        <w:t>huangxj@plhr.cn</w:t>
      </w:r>
      <w:r>
        <w:rPr>
          <w:rFonts w:hint="eastAsia" w:ascii="仿宋" w:hAnsi="仿宋" w:eastAsia="仿宋" w:cs="仿宋"/>
          <w:bCs/>
          <w:sz w:val="32"/>
          <w:szCs w:val="32"/>
          <w:highlight w:val="none"/>
          <w:lang w:val="en-US" w:eastAsia="zh-CN"/>
        </w:rPr>
        <w:t>）提供资质文件扫描件，填报公告附件1《报名表》，加盖公章并随附资格文件电子版。（本文件所有报名资，料格式：扫描件，PDF格式加盖公章）</w:t>
      </w:r>
    </w:p>
    <w:p w14:paraId="1CCD5354">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3" w:firstLineChars="200"/>
        <w:jc w:val="both"/>
        <w:textAlignment w:val="auto"/>
        <w:rPr>
          <w:rFonts w:hint="eastAsia" w:ascii="仿宋" w:hAnsi="仿宋" w:eastAsia="仿宋" w:cs="仿宋"/>
          <w:bCs/>
          <w:sz w:val="32"/>
          <w:szCs w:val="32"/>
          <w:highlight w:val="none"/>
          <w:lang w:val="en-US" w:eastAsia="zh-CN"/>
        </w:rPr>
      </w:pPr>
      <w:r>
        <w:rPr>
          <w:rFonts w:hint="eastAsia" w:ascii="仿宋" w:hAnsi="仿宋" w:eastAsia="仿宋" w:cs="仿宋"/>
          <w:b/>
          <w:bCs w:val="0"/>
          <w:sz w:val="32"/>
          <w:szCs w:val="32"/>
          <w:highlight w:val="none"/>
          <w:lang w:val="en-US" w:eastAsia="zh-CN"/>
        </w:rPr>
        <w:t>参与本阶段投标的供方可将项目一阶段招标的投标文件作为参与本阶段公开招标的投标文件。</w:t>
      </w:r>
    </w:p>
    <w:p w14:paraId="3C8FD4F3">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六、答疑、澄清与补正</w:t>
      </w:r>
    </w:p>
    <w:p w14:paraId="385F8D4F">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拟参与本项目的投标人在获得招标文件后，应及时阅知招标文件，于2024年9月27日16时前就需要招标人答疑、澄清或确认的事项提出答疑澄清请求发送至招标人联系邮箱，逾期不予受理。</w:t>
      </w:r>
    </w:p>
    <w:p w14:paraId="3A2EB0CD">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招标人将在收到答疑澄清后，统一于2024年9月29日16时以电子邮件形式根据各投标人提出的答疑澄清请求及招标人认为应当补遗说明的情况进行统一答复说明，答复说明按规不披露疑问来源。</w:t>
      </w:r>
    </w:p>
    <w:p w14:paraId="630FFB03">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本项目不接受任何电话、现场或口头答疑澄清，不设置现场踏勘，任何非本文件规定的沟通途径与方式获取的信息不构成招标人对本项目的解释与义务。</w:t>
      </w:r>
    </w:p>
    <w:p w14:paraId="19D58FD1">
      <w:pPr>
        <w:keepNext w:val="0"/>
        <w:keepLines w:val="0"/>
        <w:pageBreakBefore w:val="0"/>
        <w:widowControl w:val="0"/>
        <w:numPr>
          <w:ilvl w:val="0"/>
          <w:numId w:val="2"/>
        </w:numPr>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rPr>
        <w:t>投标截止时间</w:t>
      </w:r>
    </w:p>
    <w:p w14:paraId="69A3BC2A">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14时。</w:t>
      </w:r>
    </w:p>
    <w:p w14:paraId="3182AD8A">
      <w:pPr>
        <w:keepNext w:val="0"/>
        <w:keepLines w:val="0"/>
        <w:pageBreakBefore w:val="0"/>
        <w:widowControl w:val="0"/>
        <w:numPr>
          <w:ilvl w:val="0"/>
          <w:numId w:val="2"/>
        </w:numPr>
        <w:kinsoku/>
        <w:wordWrap w:val="0"/>
        <w:overflowPunct/>
        <w:topLinePunct w:val="0"/>
        <w:autoSpaceDE/>
        <w:autoSpaceDN/>
        <w:bidi w:val="0"/>
        <w:adjustRightInd/>
        <w:snapToGrid/>
        <w:spacing w:beforeLines="30" w:line="560" w:lineRule="exact"/>
        <w:ind w:left="0" w:lef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开标时间</w:t>
      </w:r>
    </w:p>
    <w:p w14:paraId="301DFF4D">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firstLine="640" w:firstLineChars="200"/>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w:t>
      </w:r>
      <w:r>
        <w:rPr>
          <w:rFonts w:hint="eastAsia" w:ascii="仿宋_GB2312" w:hAnsi="仿宋_GB2312" w:eastAsia="仿宋_GB2312" w:cs="仿宋_GB2312"/>
          <w:bCs/>
          <w:sz w:val="32"/>
          <w:szCs w:val="32"/>
          <w:highlight w:val="none"/>
          <w:lang w:val="en-US" w:eastAsia="zh-CN"/>
        </w:rPr>
        <w:t>10</w:t>
      </w:r>
      <w:r>
        <w:rPr>
          <w:rFonts w:hint="eastAsia" w:ascii="仿宋_GB2312" w:hAnsi="仿宋_GB2312" w:eastAsia="仿宋_GB2312" w:cs="仿宋_GB2312"/>
          <w:bCs/>
          <w:sz w:val="32"/>
          <w:szCs w:val="32"/>
          <w:highlight w:val="none"/>
        </w:rPr>
        <w:t>月</w:t>
      </w:r>
      <w:r>
        <w:rPr>
          <w:rFonts w:hint="eastAsia" w:ascii="仿宋_GB2312" w:hAnsi="仿宋_GB2312" w:eastAsia="仿宋_GB2312" w:cs="仿宋_GB2312"/>
          <w:bCs/>
          <w:sz w:val="32"/>
          <w:szCs w:val="32"/>
          <w:highlight w:val="none"/>
          <w:lang w:val="en-US" w:eastAsia="zh-CN"/>
        </w:rPr>
        <w:t>9</w:t>
      </w:r>
      <w:r>
        <w:rPr>
          <w:rFonts w:hint="eastAsia" w:ascii="仿宋_GB2312" w:hAnsi="仿宋_GB2312" w:eastAsia="仿宋_GB2312" w:cs="仿宋_GB2312"/>
          <w:bCs/>
          <w:sz w:val="32"/>
          <w:szCs w:val="32"/>
          <w:highlight w:val="none"/>
        </w:rPr>
        <w:t>日</w:t>
      </w:r>
      <w:r>
        <w:rPr>
          <w:rFonts w:hint="eastAsia" w:ascii="仿宋_GB2312" w:hAnsi="仿宋_GB2312" w:eastAsia="仿宋_GB2312" w:cs="仿宋_GB2312"/>
          <w:bCs/>
          <w:sz w:val="32"/>
          <w:szCs w:val="32"/>
          <w:highlight w:val="none"/>
          <w:lang w:val="en-US" w:eastAsia="zh-CN"/>
        </w:rPr>
        <w:t>14时30分。</w:t>
      </w:r>
    </w:p>
    <w:p w14:paraId="7A24D11C">
      <w:pPr>
        <w:keepNext w:val="0"/>
        <w:keepLines w:val="0"/>
        <w:pageBreakBefore w:val="0"/>
        <w:widowControl w:val="0"/>
        <w:numPr>
          <w:ilvl w:val="0"/>
          <w:numId w:val="2"/>
        </w:numPr>
        <w:kinsoku/>
        <w:wordWrap w:val="0"/>
        <w:overflowPunct/>
        <w:topLinePunct w:val="0"/>
        <w:autoSpaceDE/>
        <w:autoSpaceDN/>
        <w:bidi w:val="0"/>
        <w:adjustRightInd/>
        <w:snapToGrid/>
        <w:spacing w:beforeLines="30" w:line="560" w:lineRule="exact"/>
        <w:ind w:left="0" w:lef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投标文件</w:t>
      </w:r>
      <w:r>
        <w:rPr>
          <w:rFonts w:hint="eastAsia" w:ascii="黑体" w:hAnsi="黑体" w:eastAsia="黑体" w:cs="黑体"/>
          <w:bCs/>
          <w:sz w:val="32"/>
          <w:szCs w:val="32"/>
          <w:highlight w:val="none"/>
          <w:lang w:eastAsia="zh-CN"/>
        </w:rPr>
        <w:t>递交</w:t>
      </w:r>
      <w:r>
        <w:rPr>
          <w:rFonts w:hint="eastAsia" w:ascii="黑体" w:hAnsi="黑体" w:eastAsia="黑体" w:cs="黑体"/>
          <w:bCs/>
          <w:sz w:val="32"/>
          <w:szCs w:val="32"/>
          <w:highlight w:val="none"/>
        </w:rPr>
        <w:t>及开标地点</w:t>
      </w:r>
    </w:p>
    <w:p w14:paraId="618FD341">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深圳市罗湖区笋岗街道田心社区红岭北路2088号招商开元中心A座13层</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中国人保金融大厦</w:t>
      </w:r>
      <w:r>
        <w:rPr>
          <w:rFonts w:hint="eastAsia" w:ascii="仿宋_GB2312" w:hAnsi="仿宋_GB2312" w:eastAsia="仿宋_GB2312" w:cs="仿宋_GB2312"/>
          <w:bCs/>
          <w:sz w:val="32"/>
          <w:szCs w:val="32"/>
          <w:highlight w:val="none"/>
          <w:lang w:val="en-US" w:eastAsia="zh-CN"/>
        </w:rPr>
        <w:t>A座</w:t>
      </w:r>
      <w:r>
        <w:rPr>
          <w:rFonts w:hint="eastAsia" w:ascii="仿宋_GB2312" w:hAnsi="仿宋_GB2312" w:eastAsia="仿宋_GB2312" w:cs="仿宋_GB2312"/>
          <w:bCs/>
          <w:sz w:val="32"/>
          <w:szCs w:val="32"/>
          <w:highlight w:val="none"/>
        </w:rPr>
        <w:t>13</w:t>
      </w:r>
      <w:r>
        <w:rPr>
          <w:rFonts w:hint="eastAsia" w:ascii="仿宋_GB2312" w:hAnsi="仿宋_GB2312" w:eastAsia="仿宋_GB2312" w:cs="仿宋_GB2312"/>
          <w:bCs/>
          <w:sz w:val="32"/>
          <w:szCs w:val="32"/>
          <w:highlight w:val="none"/>
          <w:lang w:val="en-US" w:eastAsia="zh-CN"/>
        </w:rPr>
        <w:t>层）深圳市鹏劳人力资源管理有限公司</w:t>
      </w:r>
    </w:p>
    <w:p w14:paraId="07C6EC50">
      <w:pPr>
        <w:keepNext w:val="0"/>
        <w:keepLines w:val="0"/>
        <w:pageBreakBefore w:val="0"/>
        <w:widowControl w:val="0"/>
        <w:numPr>
          <w:ilvl w:val="0"/>
          <w:numId w:val="2"/>
        </w:numPr>
        <w:kinsoku/>
        <w:wordWrap w:val="0"/>
        <w:overflowPunct/>
        <w:topLinePunct w:val="0"/>
        <w:autoSpaceDE/>
        <w:autoSpaceDN/>
        <w:bidi w:val="0"/>
        <w:adjustRightInd/>
        <w:snapToGrid/>
        <w:spacing w:beforeLines="30" w:line="560" w:lineRule="exact"/>
        <w:ind w:left="0" w:leftChars="0" w:firstLine="640" w:firstLineChars="200"/>
        <w:jc w:val="both"/>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联系</w:t>
      </w:r>
      <w:r>
        <w:rPr>
          <w:rFonts w:hint="eastAsia" w:ascii="黑体" w:hAnsi="黑体" w:eastAsia="黑体" w:cs="黑体"/>
          <w:bCs/>
          <w:sz w:val="32"/>
          <w:szCs w:val="32"/>
          <w:highlight w:val="none"/>
          <w:lang w:val="en-US" w:eastAsia="zh-CN"/>
        </w:rPr>
        <w:t>方式</w:t>
      </w:r>
    </w:p>
    <w:p w14:paraId="19299EE9">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left="0" w:leftChars="0" w:firstLine="636" w:firstLineChars="199"/>
        <w:jc w:val="both"/>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联系人：黄工</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仅限本项目联系）</w:t>
      </w:r>
      <w:r>
        <w:rPr>
          <w:rFonts w:hint="eastAsia" w:ascii="仿宋_GB2312" w:hAnsi="仿宋_GB2312" w:eastAsia="仿宋_GB2312" w:cs="仿宋_GB2312"/>
          <w:bCs/>
          <w:sz w:val="32"/>
          <w:szCs w:val="32"/>
          <w:highlight w:val="none"/>
        </w:rPr>
        <w:t xml:space="preserve"> </w:t>
      </w:r>
    </w:p>
    <w:p w14:paraId="33E88573">
      <w:pPr>
        <w:keepNext w:val="0"/>
        <w:keepLines w:val="0"/>
        <w:pageBreakBefore w:val="0"/>
        <w:widowControl w:val="0"/>
        <w:numPr>
          <w:ilvl w:val="0"/>
          <w:numId w:val="0"/>
        </w:numPr>
        <w:kinsoku/>
        <w:wordWrap w:val="0"/>
        <w:overflowPunct/>
        <w:topLinePunct w:val="0"/>
        <w:autoSpaceDE/>
        <w:autoSpaceDN/>
        <w:bidi w:val="0"/>
        <w:adjustRightInd/>
        <w:snapToGrid/>
        <w:spacing w:beforeLines="30" w:line="560" w:lineRule="exact"/>
        <w:ind w:left="0" w:leftChars="0" w:firstLine="636" w:firstLineChars="199"/>
        <w:jc w:val="both"/>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联系电话：</w:t>
      </w:r>
      <w:r>
        <w:rPr>
          <w:rFonts w:hint="eastAsia" w:ascii="仿宋_GB2312" w:hAnsi="仿宋_GB2312" w:eastAsia="仿宋_GB2312" w:cs="仿宋_GB2312"/>
          <w:bCs/>
          <w:sz w:val="32"/>
          <w:szCs w:val="32"/>
          <w:highlight w:val="none"/>
          <w:lang w:val="en-US" w:eastAsia="zh-CN"/>
        </w:rPr>
        <w:t>0755-25023046</w:t>
      </w:r>
    </w:p>
    <w:p w14:paraId="74DE265F">
      <w:pPr>
        <w:keepNext w:val="0"/>
        <w:keepLines w:val="0"/>
        <w:pageBreakBefore w:val="0"/>
        <w:widowControl w:val="0"/>
        <w:kinsoku/>
        <w:wordWrap w:val="0"/>
        <w:overflowPunct/>
        <w:topLinePunct w:val="0"/>
        <w:autoSpaceDE/>
        <w:autoSpaceDN/>
        <w:bidi w:val="0"/>
        <w:adjustRightInd/>
        <w:snapToGrid/>
        <w:spacing w:beforeLines="30" w:line="560" w:lineRule="exact"/>
        <w:ind w:left="0" w:leftChars="0" w:firstLine="636" w:firstLineChars="199"/>
        <w:jc w:val="both"/>
        <w:textAlignment w:val="auto"/>
        <w:rPr>
          <w:rFonts w:hint="eastAsia" w:ascii="仿宋_GB2312" w:hAnsi="仿宋_GB2312" w:eastAsia="仿宋_GB2312" w:cs="仿宋_GB2312"/>
          <w:b w:val="0"/>
          <w:bCs/>
          <w:color w:val="auto"/>
          <w:sz w:val="32"/>
          <w:szCs w:val="32"/>
          <w:highlight w:val="none"/>
          <w:u w:val="none"/>
          <w:lang w:val="en-US" w:eastAsia="zh-CN"/>
        </w:rPr>
      </w:pPr>
      <w:r>
        <w:rPr>
          <w:rFonts w:hint="eastAsia" w:ascii="仿宋_GB2312" w:hAnsi="仿宋_GB2312" w:eastAsia="仿宋_GB2312" w:cs="仿宋_GB2312"/>
          <w:bCs/>
          <w:sz w:val="32"/>
          <w:szCs w:val="32"/>
          <w:highlight w:val="none"/>
          <w:lang w:val="en-US" w:eastAsia="zh-CN"/>
        </w:rPr>
        <w:t>电子邮箱：</w:t>
      </w:r>
      <w:r>
        <w:rPr>
          <w:rFonts w:hint="eastAsia" w:ascii="仿宋" w:hAnsi="仿宋" w:eastAsia="仿宋" w:cs="仿宋"/>
          <w:bCs/>
          <w:sz w:val="32"/>
          <w:szCs w:val="32"/>
          <w:highlight w:val="none"/>
          <w:lang w:val="en-US" w:eastAsia="zh-CN"/>
        </w:rPr>
        <w:fldChar w:fldCharType="begin"/>
      </w:r>
      <w:r>
        <w:rPr>
          <w:rFonts w:hint="eastAsia" w:ascii="仿宋" w:hAnsi="仿宋" w:eastAsia="仿宋" w:cs="仿宋"/>
          <w:bCs/>
          <w:sz w:val="32"/>
          <w:szCs w:val="32"/>
          <w:highlight w:val="none"/>
          <w:lang w:val="en-US" w:eastAsia="zh-CN"/>
        </w:rPr>
        <w:instrText xml:space="preserve"> HYPERLINK "mailto:huangxj@plhr.cn" </w:instrText>
      </w:r>
      <w:r>
        <w:rPr>
          <w:rFonts w:hint="eastAsia" w:ascii="仿宋" w:hAnsi="仿宋" w:eastAsia="仿宋" w:cs="仿宋"/>
          <w:bCs/>
          <w:sz w:val="32"/>
          <w:szCs w:val="32"/>
          <w:highlight w:val="none"/>
          <w:lang w:val="en-US" w:eastAsia="zh-CN"/>
        </w:rPr>
        <w:fldChar w:fldCharType="separate"/>
      </w:r>
      <w:r>
        <w:rPr>
          <w:rFonts w:hint="eastAsia" w:ascii="仿宋" w:hAnsi="仿宋" w:eastAsia="仿宋" w:cs="仿宋"/>
          <w:bCs/>
          <w:sz w:val="32"/>
          <w:szCs w:val="32"/>
          <w:highlight w:val="none"/>
          <w:lang w:val="en-US" w:eastAsia="zh-CN"/>
        </w:rPr>
        <w:t>huangxj@plhr.cn</w:t>
      </w:r>
      <w:r>
        <w:rPr>
          <w:rFonts w:hint="eastAsia" w:ascii="仿宋" w:hAnsi="仿宋" w:eastAsia="仿宋" w:cs="仿宋"/>
          <w:bCs/>
          <w:sz w:val="32"/>
          <w:szCs w:val="32"/>
          <w:highlight w:val="none"/>
          <w:lang w:val="en-US" w:eastAsia="zh-CN"/>
        </w:rPr>
        <w:fldChar w:fldCharType="end"/>
      </w:r>
    </w:p>
    <w:p w14:paraId="105C2E39">
      <w:pPr>
        <w:keepNext w:val="0"/>
        <w:keepLines w:val="0"/>
        <w:pageBreakBefore w:val="0"/>
        <w:widowControl w:val="0"/>
        <w:kinsoku/>
        <w:wordWrap w:val="0"/>
        <w:overflowPunct/>
        <w:topLinePunct w:val="0"/>
        <w:autoSpaceDE/>
        <w:autoSpaceDN/>
        <w:bidi w:val="0"/>
        <w:adjustRightInd/>
        <w:snapToGrid/>
        <w:spacing w:beforeLines="30" w:line="560" w:lineRule="exact"/>
        <w:ind w:left="0" w:leftChars="0" w:firstLine="636" w:firstLineChars="199"/>
        <w:jc w:val="both"/>
        <w:textAlignment w:val="auto"/>
        <w:rPr>
          <w:rFonts w:hint="eastAsia" w:ascii="仿宋_GB2312" w:hAnsi="仿宋_GB2312" w:eastAsia="仿宋_GB2312" w:cs="仿宋_GB2312"/>
          <w:b w:val="0"/>
          <w:bCs/>
          <w:color w:val="auto"/>
          <w:sz w:val="32"/>
          <w:szCs w:val="32"/>
          <w:highlight w:val="none"/>
          <w:u w:val="none"/>
          <w:lang w:val="en-US" w:eastAsia="zh-CN"/>
        </w:rPr>
      </w:pPr>
    </w:p>
    <w:p w14:paraId="7A0BDBBE">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righ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                 深圳市鹏劳人力资源管理有限公司</w:t>
      </w:r>
    </w:p>
    <w:p w14:paraId="352F9D22">
      <w:pPr>
        <w:keepNext w:val="0"/>
        <w:keepLines w:val="0"/>
        <w:pageBreakBefore w:val="0"/>
        <w:widowControl w:val="0"/>
        <w:kinsoku/>
        <w:wordWrap w:val="0"/>
        <w:overflowPunct/>
        <w:topLinePunct w:val="0"/>
        <w:autoSpaceDE/>
        <w:autoSpaceDN/>
        <w:bidi w:val="0"/>
        <w:adjustRightInd/>
        <w:snapToGrid/>
        <w:spacing w:beforeLines="30" w:line="560" w:lineRule="exact"/>
        <w:ind w:firstLine="640" w:firstLineChars="200"/>
        <w:jc w:val="right"/>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                          2024年9月25日   </w:t>
      </w:r>
    </w:p>
    <w:p w14:paraId="4034F51A">
      <w:pPr>
        <w:keepNext w:val="0"/>
        <w:keepLines w:val="0"/>
        <w:pageBreakBefore w:val="0"/>
        <w:widowControl w:val="0"/>
        <w:kinsoku/>
        <w:wordWrap w:val="0"/>
        <w:overflowPunct/>
        <w:topLinePunct w:val="0"/>
        <w:autoSpaceDE/>
        <w:autoSpaceDN/>
        <w:bidi w:val="0"/>
        <w:adjustRightInd/>
        <w:snapToGrid/>
        <w:spacing w:beforeLines="30" w:line="560" w:lineRule="exact"/>
        <w:ind w:firstLine="643" w:firstLineChars="200"/>
        <w:jc w:val="both"/>
        <w:textAlignment w:val="auto"/>
        <w:rPr>
          <w:rFonts w:hint="eastAsia" w:ascii="仿宋" w:hAnsi="仿宋" w:eastAsia="仿宋" w:cs="仿宋"/>
          <w:b/>
          <w:sz w:val="32"/>
          <w:szCs w:val="32"/>
          <w:highlight w:val="none"/>
          <w:lang w:val="en-US" w:eastAsia="zh-CN"/>
        </w:rPr>
      </w:pPr>
    </w:p>
    <w:p w14:paraId="71BD275E">
      <w:pPr>
        <w:rPr>
          <w:rFonts w:hint="eastAsia"/>
          <w:highlight w:val="none"/>
          <w:lang w:eastAsia="zh-CN"/>
        </w:rPr>
      </w:pPr>
    </w:p>
    <w:p w14:paraId="40C9CC83">
      <w:pPr>
        <w:rPr>
          <w:rFonts w:hint="eastAsia"/>
          <w:highlight w:val="none"/>
          <w:lang w:eastAsia="zh-CN"/>
        </w:rPr>
      </w:pPr>
    </w:p>
    <w:p w14:paraId="29DD03BB">
      <w:pPr>
        <w:rPr>
          <w:rFonts w:hint="eastAsia"/>
          <w:highlight w:val="none"/>
          <w:lang w:eastAsia="zh-CN"/>
        </w:rPr>
      </w:pPr>
    </w:p>
    <w:p w14:paraId="2324CB77">
      <w:pPr>
        <w:rPr>
          <w:rFonts w:hint="eastAsia"/>
          <w:highlight w:val="none"/>
          <w:lang w:eastAsia="zh-CN"/>
        </w:rPr>
      </w:pPr>
    </w:p>
    <w:p w14:paraId="4B3652B9">
      <w:pPr>
        <w:rPr>
          <w:rFonts w:hint="eastAsia"/>
          <w:highlight w:val="none"/>
          <w:lang w:eastAsia="zh-CN"/>
        </w:rPr>
      </w:pPr>
    </w:p>
    <w:p w14:paraId="1E57F866">
      <w:pPr>
        <w:rPr>
          <w:rFonts w:hint="eastAsia"/>
          <w:highlight w:val="none"/>
          <w:lang w:eastAsia="zh-CN"/>
        </w:rPr>
      </w:pPr>
    </w:p>
    <w:p w14:paraId="5B9E70A5">
      <w:pPr>
        <w:rPr>
          <w:rFonts w:hint="eastAsia"/>
          <w:highlight w:val="none"/>
          <w:lang w:eastAsia="zh-CN"/>
        </w:rPr>
      </w:pPr>
    </w:p>
    <w:p w14:paraId="629CC2C1">
      <w:pPr>
        <w:rPr>
          <w:rFonts w:hint="eastAsia"/>
          <w:highlight w:val="none"/>
          <w:lang w:eastAsia="zh-CN"/>
        </w:rPr>
      </w:pPr>
    </w:p>
    <w:p w14:paraId="6E6C329B">
      <w:pPr>
        <w:rPr>
          <w:rFonts w:hint="eastAsia"/>
          <w:highlight w:val="none"/>
          <w:lang w:eastAsia="zh-CN"/>
        </w:rPr>
      </w:pPr>
    </w:p>
    <w:p w14:paraId="44BD15BF">
      <w:pPr>
        <w:rPr>
          <w:rFonts w:hint="eastAsia"/>
          <w:highlight w:val="none"/>
          <w:lang w:eastAsia="zh-CN"/>
        </w:rPr>
      </w:pPr>
    </w:p>
    <w:p w14:paraId="0F73EA8A">
      <w:pPr>
        <w:rPr>
          <w:rFonts w:hint="eastAsia"/>
          <w:highlight w:val="none"/>
          <w:lang w:eastAsia="zh-CN"/>
        </w:rPr>
      </w:pPr>
    </w:p>
    <w:p w14:paraId="41BCA2BA">
      <w:pPr>
        <w:rPr>
          <w:rFonts w:hint="eastAsia"/>
          <w:highlight w:val="none"/>
          <w:lang w:eastAsia="zh-CN"/>
        </w:rPr>
      </w:pPr>
    </w:p>
    <w:p w14:paraId="3564C004">
      <w:pPr>
        <w:rPr>
          <w:rFonts w:hint="eastAsia"/>
          <w:highlight w:val="none"/>
          <w:lang w:eastAsia="zh-CN"/>
        </w:rPr>
      </w:pPr>
    </w:p>
    <w:p w14:paraId="53D39ADD">
      <w:pPr>
        <w:rPr>
          <w:rFonts w:hint="eastAsia"/>
          <w:highlight w:val="none"/>
          <w:lang w:eastAsia="zh-CN"/>
        </w:rPr>
      </w:pPr>
    </w:p>
    <w:p w14:paraId="48F61C29">
      <w:pPr>
        <w:rPr>
          <w:rFonts w:hint="eastAsia"/>
          <w:highlight w:val="none"/>
          <w:lang w:eastAsia="zh-CN"/>
        </w:rPr>
      </w:pPr>
    </w:p>
    <w:p w14:paraId="09001C9C">
      <w:pPr>
        <w:rPr>
          <w:rFonts w:hint="eastAsia"/>
          <w:highlight w:val="none"/>
          <w:lang w:eastAsia="zh-CN"/>
        </w:rPr>
      </w:pPr>
    </w:p>
    <w:p w14:paraId="0F8161EC">
      <w:pPr>
        <w:rPr>
          <w:rFonts w:hint="eastAsia"/>
          <w:highlight w:val="none"/>
          <w:lang w:eastAsia="zh-CN"/>
        </w:rPr>
      </w:pPr>
    </w:p>
    <w:p w14:paraId="5CDEDC2E">
      <w:pPr>
        <w:rPr>
          <w:rFonts w:hint="eastAsia"/>
          <w:highlight w:val="none"/>
          <w:lang w:eastAsia="zh-CN"/>
        </w:rPr>
      </w:pPr>
    </w:p>
    <w:p w14:paraId="0F0F9891">
      <w:pPr>
        <w:rPr>
          <w:rFonts w:hint="eastAsia"/>
          <w:highlight w:val="none"/>
          <w:lang w:eastAsia="zh-CN"/>
        </w:rPr>
      </w:pPr>
    </w:p>
    <w:p w14:paraId="4950BFAD">
      <w:pPr>
        <w:rPr>
          <w:rFonts w:hint="eastAsia"/>
          <w:highlight w:val="none"/>
          <w:lang w:eastAsia="zh-CN"/>
        </w:rPr>
      </w:pPr>
    </w:p>
    <w:p w14:paraId="63F1C9AC">
      <w:pPr>
        <w:rPr>
          <w:rFonts w:hint="eastAsia"/>
          <w:highlight w:val="none"/>
          <w:lang w:eastAsia="zh-CN"/>
        </w:rPr>
      </w:pPr>
    </w:p>
    <w:p w14:paraId="6101994E">
      <w:pPr>
        <w:rPr>
          <w:rFonts w:hint="eastAsia"/>
          <w:highlight w:val="none"/>
          <w:lang w:eastAsia="zh-CN"/>
        </w:rPr>
      </w:pPr>
    </w:p>
    <w:p w14:paraId="494AFE70">
      <w:pPr>
        <w:rPr>
          <w:rFonts w:hint="eastAsia"/>
          <w:highlight w:val="none"/>
          <w:lang w:eastAsia="zh-CN"/>
        </w:rPr>
      </w:pPr>
    </w:p>
    <w:p w14:paraId="50FFF172">
      <w:pPr>
        <w:rPr>
          <w:rFonts w:hint="eastAsia"/>
          <w:highlight w:val="none"/>
          <w:lang w:eastAsia="zh-CN"/>
        </w:rPr>
      </w:pPr>
    </w:p>
    <w:p w14:paraId="1C166DF3">
      <w:pPr>
        <w:rPr>
          <w:rFonts w:hint="eastAsia"/>
          <w:highlight w:val="none"/>
          <w:lang w:eastAsia="zh-CN"/>
        </w:rPr>
      </w:pPr>
      <w:r>
        <w:rPr>
          <w:rFonts w:hint="eastAsia"/>
          <w:highlight w:val="none"/>
          <w:lang w:eastAsia="zh-CN"/>
        </w:rPr>
        <w:t>附件：</w:t>
      </w:r>
    </w:p>
    <w:p w14:paraId="37A90246">
      <w:pPr>
        <w:pStyle w:val="3"/>
        <w:keepNext/>
        <w:keepLines/>
        <w:pageBreakBefore w:val="0"/>
        <w:widowControl/>
        <w:numPr>
          <w:ilvl w:val="1"/>
          <w:numId w:val="0"/>
        </w:numPr>
        <w:kinsoku/>
        <w:wordWrap/>
        <w:overflowPunct/>
        <w:topLinePunct w:val="0"/>
        <w:autoSpaceDE/>
        <w:autoSpaceDN/>
        <w:bidi w:val="0"/>
        <w:adjustRightInd w:val="0"/>
        <w:snapToGrid w:val="0"/>
        <w:spacing w:before="0" w:after="0" w:line="400" w:lineRule="exact"/>
        <w:jc w:val="center"/>
        <w:textAlignment w:val="auto"/>
        <w:rPr>
          <w:rFonts w:hint="eastAsia"/>
          <w:b w:val="0"/>
          <w:bCs/>
          <w:sz w:val="36"/>
          <w:szCs w:val="36"/>
          <w:highlight w:val="none"/>
        </w:rPr>
      </w:pPr>
      <w:bookmarkStart w:id="15" w:name="_Toc9030"/>
      <w:bookmarkStart w:id="16" w:name="_Toc140285777"/>
      <w:r>
        <w:rPr>
          <w:rFonts w:hint="eastAsia"/>
          <w:b w:val="0"/>
          <w:bCs/>
          <w:sz w:val="36"/>
          <w:szCs w:val="36"/>
          <w:highlight w:val="none"/>
          <w:lang w:val="en-US" w:eastAsia="zh-CN"/>
        </w:rPr>
        <w:t>深圳市鹏劳人力资源管理有限公司采购招标</w:t>
      </w:r>
      <w:r>
        <w:rPr>
          <w:rFonts w:hint="eastAsia"/>
          <w:b w:val="0"/>
          <w:bCs/>
          <w:sz w:val="36"/>
          <w:szCs w:val="36"/>
          <w:highlight w:val="none"/>
        </w:rPr>
        <w:t>报名表</w:t>
      </w:r>
      <w:bookmarkEnd w:id="15"/>
      <w:bookmarkEnd w:id="16"/>
    </w:p>
    <w:p w14:paraId="1DD2524F">
      <w:pPr>
        <w:rPr>
          <w:rFonts w:hint="eastAsia"/>
          <w:highlight w:val="none"/>
        </w:rPr>
      </w:pPr>
    </w:p>
    <w:tbl>
      <w:tblPr>
        <w:tblStyle w:val="15"/>
        <w:tblW w:w="900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949"/>
        <w:gridCol w:w="1620"/>
        <w:gridCol w:w="900"/>
        <w:gridCol w:w="720"/>
        <w:gridCol w:w="1980"/>
      </w:tblGrid>
      <w:tr w14:paraId="3A6514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831" w:type="dxa"/>
            <w:tcBorders>
              <w:tl2br w:val="nil"/>
              <w:tr2bl w:val="nil"/>
            </w:tcBorders>
            <w:noWrap w:val="0"/>
            <w:vAlign w:val="center"/>
          </w:tcPr>
          <w:p w14:paraId="495EBAC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项目名称</w:t>
            </w:r>
          </w:p>
        </w:tc>
        <w:tc>
          <w:tcPr>
            <w:tcW w:w="7169" w:type="dxa"/>
            <w:gridSpan w:val="5"/>
            <w:tcBorders>
              <w:tl2br w:val="nil"/>
              <w:tr2bl w:val="nil"/>
            </w:tcBorders>
            <w:noWrap w:val="0"/>
            <w:vAlign w:val="center"/>
          </w:tcPr>
          <w:p w14:paraId="33F569D7">
            <w:pPr>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深圳市鹏劳人力资源管理有限公司</w:t>
            </w:r>
            <w:r>
              <w:rPr>
                <w:rFonts w:hint="eastAsia" w:ascii="宋体" w:hAnsi="宋体" w:cs="宋体"/>
                <w:b w:val="0"/>
                <w:bCs/>
                <w:sz w:val="21"/>
                <w:szCs w:val="21"/>
                <w:highlight w:val="none"/>
                <w:lang w:val="en-US" w:eastAsia="zh-CN"/>
              </w:rPr>
              <w:t>2024年</w:t>
            </w:r>
            <w:r>
              <w:rPr>
                <w:rFonts w:hint="eastAsia" w:ascii="宋体" w:hAnsi="宋体" w:eastAsia="宋体" w:cs="宋体"/>
                <w:b w:val="0"/>
                <w:bCs/>
                <w:sz w:val="21"/>
                <w:szCs w:val="21"/>
                <w:highlight w:val="none"/>
                <w:lang w:val="en-US" w:eastAsia="zh-CN"/>
              </w:rPr>
              <w:t>外派员工</w:t>
            </w:r>
            <w:r>
              <w:rPr>
                <w:rFonts w:hint="eastAsia" w:ascii="宋体" w:hAnsi="宋体" w:cs="宋体"/>
                <w:b w:val="0"/>
                <w:bCs/>
                <w:sz w:val="21"/>
                <w:szCs w:val="21"/>
                <w:highlight w:val="none"/>
                <w:lang w:val="en-US" w:eastAsia="zh-CN"/>
              </w:rPr>
              <w:t>健康体检</w:t>
            </w:r>
            <w:r>
              <w:rPr>
                <w:rFonts w:hint="eastAsia" w:ascii="宋体" w:hAnsi="宋体" w:eastAsia="宋体" w:cs="宋体"/>
                <w:b w:val="0"/>
                <w:bCs/>
                <w:sz w:val="21"/>
                <w:szCs w:val="21"/>
                <w:highlight w:val="none"/>
                <w:lang w:val="en-US" w:eastAsia="zh-CN"/>
              </w:rPr>
              <w:t>服务采购项目（二次）</w:t>
            </w:r>
          </w:p>
        </w:tc>
      </w:tr>
      <w:tr w14:paraId="5B787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1831" w:type="dxa"/>
            <w:tcBorders>
              <w:tl2br w:val="nil"/>
              <w:tr2bl w:val="nil"/>
            </w:tcBorders>
            <w:noWrap w:val="0"/>
            <w:vAlign w:val="center"/>
          </w:tcPr>
          <w:p w14:paraId="3AC88D8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项目编号</w:t>
            </w:r>
          </w:p>
        </w:tc>
        <w:tc>
          <w:tcPr>
            <w:tcW w:w="3569" w:type="dxa"/>
            <w:gridSpan w:val="2"/>
            <w:tcBorders>
              <w:tl2br w:val="nil"/>
              <w:tr2bl w:val="nil"/>
            </w:tcBorders>
            <w:noWrap w:val="0"/>
            <w:vAlign w:val="center"/>
          </w:tcPr>
          <w:p w14:paraId="1DA54FCB">
            <w:pPr>
              <w:jc w:val="center"/>
              <w:rPr>
                <w:rFonts w:hint="default"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PLHR-</w:t>
            </w:r>
            <w:r>
              <w:rPr>
                <w:rFonts w:hint="eastAsia" w:ascii="宋体" w:hAnsi="宋体" w:cs="宋体"/>
                <w:b w:val="0"/>
                <w:bCs/>
                <w:sz w:val="21"/>
                <w:szCs w:val="21"/>
                <w:highlight w:val="none"/>
                <w:lang w:val="en-US" w:eastAsia="zh-CN"/>
              </w:rPr>
              <w:t>ZB</w:t>
            </w:r>
            <w:r>
              <w:rPr>
                <w:rFonts w:hint="eastAsia" w:ascii="宋体" w:hAnsi="宋体" w:eastAsia="宋体" w:cs="宋体"/>
                <w:b w:val="0"/>
                <w:bCs/>
                <w:sz w:val="21"/>
                <w:szCs w:val="21"/>
                <w:highlight w:val="none"/>
                <w:lang w:val="en-US" w:eastAsia="zh-CN"/>
              </w:rPr>
              <w:t>-FW-</w:t>
            </w:r>
            <w:r>
              <w:rPr>
                <w:rFonts w:hint="eastAsia" w:ascii="宋体" w:hAnsi="宋体" w:cs="宋体"/>
                <w:b w:val="0"/>
                <w:bCs/>
                <w:sz w:val="21"/>
                <w:szCs w:val="21"/>
                <w:highlight w:val="none"/>
                <w:lang w:val="en-US" w:eastAsia="zh-CN"/>
              </w:rPr>
              <w:t>20240601</w:t>
            </w:r>
          </w:p>
        </w:tc>
        <w:tc>
          <w:tcPr>
            <w:tcW w:w="1620" w:type="dxa"/>
            <w:gridSpan w:val="2"/>
            <w:tcBorders>
              <w:tl2br w:val="nil"/>
              <w:tr2bl w:val="nil"/>
            </w:tcBorders>
            <w:noWrap w:val="0"/>
            <w:vAlign w:val="center"/>
          </w:tcPr>
          <w:p w14:paraId="071A0D1D">
            <w:pP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　所投包号</w:t>
            </w:r>
          </w:p>
        </w:tc>
        <w:tc>
          <w:tcPr>
            <w:tcW w:w="1980" w:type="dxa"/>
            <w:tcBorders>
              <w:tl2br w:val="nil"/>
              <w:tr2bl w:val="nil"/>
            </w:tcBorders>
            <w:noWrap w:val="0"/>
            <w:vAlign w:val="center"/>
          </w:tcPr>
          <w:p w14:paraId="59825164">
            <w:pPr>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w:t>
            </w:r>
          </w:p>
        </w:tc>
      </w:tr>
      <w:tr w14:paraId="2B035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1831" w:type="dxa"/>
            <w:tcBorders>
              <w:tl2br w:val="nil"/>
              <w:tr2bl w:val="nil"/>
            </w:tcBorders>
            <w:noWrap w:val="0"/>
            <w:vAlign w:val="center"/>
          </w:tcPr>
          <w:p w14:paraId="305A812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lang w:val="en-US" w:eastAsia="zh-CN"/>
              </w:rPr>
              <w:t>投标人</w:t>
            </w:r>
            <w:r>
              <w:rPr>
                <w:rFonts w:hint="eastAsia" w:ascii="宋体" w:hAnsi="宋体" w:eastAsia="宋体" w:cs="宋体"/>
                <w:b w:val="0"/>
                <w:bCs/>
                <w:sz w:val="21"/>
                <w:szCs w:val="21"/>
                <w:highlight w:val="none"/>
              </w:rPr>
              <w:t>全称</w:t>
            </w:r>
          </w:p>
          <w:p w14:paraId="559A1990">
            <w:pPr>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加盖公章</w:t>
            </w:r>
            <w:r>
              <w:rPr>
                <w:rFonts w:hint="eastAsia" w:ascii="宋体" w:hAnsi="宋体" w:eastAsia="宋体" w:cs="宋体"/>
                <w:b w:val="0"/>
                <w:bCs/>
                <w:sz w:val="21"/>
                <w:szCs w:val="21"/>
                <w:highlight w:val="none"/>
                <w:lang w:eastAsia="zh-CN"/>
              </w:rPr>
              <w:t>）</w:t>
            </w:r>
          </w:p>
        </w:tc>
        <w:tc>
          <w:tcPr>
            <w:tcW w:w="7169" w:type="dxa"/>
            <w:gridSpan w:val="5"/>
            <w:tcBorders>
              <w:tl2br w:val="nil"/>
              <w:tr2bl w:val="nil"/>
            </w:tcBorders>
            <w:noWrap w:val="0"/>
            <w:vAlign w:val="center"/>
          </w:tcPr>
          <w:p w14:paraId="7397BE5B">
            <w:pPr>
              <w:rPr>
                <w:rFonts w:hint="eastAsia" w:ascii="宋体" w:hAnsi="宋体" w:eastAsia="宋体" w:cs="宋体"/>
                <w:b w:val="0"/>
                <w:bCs/>
                <w:sz w:val="21"/>
                <w:szCs w:val="21"/>
                <w:highlight w:val="none"/>
              </w:rPr>
            </w:pPr>
          </w:p>
        </w:tc>
      </w:tr>
      <w:tr w14:paraId="10EBE0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31" w:type="dxa"/>
            <w:tcBorders>
              <w:tl2br w:val="nil"/>
              <w:tr2bl w:val="nil"/>
            </w:tcBorders>
            <w:noWrap w:val="0"/>
            <w:vAlign w:val="center"/>
          </w:tcPr>
          <w:p w14:paraId="374E10A4">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详细地址</w:t>
            </w:r>
          </w:p>
        </w:tc>
        <w:tc>
          <w:tcPr>
            <w:tcW w:w="3569" w:type="dxa"/>
            <w:gridSpan w:val="2"/>
            <w:tcBorders>
              <w:tl2br w:val="nil"/>
              <w:tr2bl w:val="nil"/>
            </w:tcBorders>
            <w:noWrap w:val="0"/>
            <w:vAlign w:val="center"/>
          </w:tcPr>
          <w:p w14:paraId="54D8EB9C">
            <w:pPr>
              <w:rPr>
                <w:rFonts w:hint="eastAsia" w:ascii="宋体" w:hAnsi="宋体" w:eastAsia="宋体" w:cs="宋体"/>
                <w:b w:val="0"/>
                <w:bCs/>
                <w:sz w:val="21"/>
                <w:szCs w:val="21"/>
                <w:highlight w:val="none"/>
              </w:rPr>
            </w:pPr>
          </w:p>
        </w:tc>
        <w:tc>
          <w:tcPr>
            <w:tcW w:w="1620" w:type="dxa"/>
            <w:gridSpan w:val="2"/>
            <w:tcBorders>
              <w:tl2br w:val="nil"/>
              <w:tr2bl w:val="nil"/>
            </w:tcBorders>
            <w:noWrap w:val="0"/>
            <w:vAlign w:val="center"/>
          </w:tcPr>
          <w:p w14:paraId="37825C7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邮政编码</w:t>
            </w:r>
          </w:p>
        </w:tc>
        <w:tc>
          <w:tcPr>
            <w:tcW w:w="1980" w:type="dxa"/>
            <w:tcBorders>
              <w:tl2br w:val="nil"/>
              <w:tr2bl w:val="nil"/>
            </w:tcBorders>
            <w:noWrap w:val="0"/>
            <w:vAlign w:val="center"/>
          </w:tcPr>
          <w:p w14:paraId="7A10CE23">
            <w:pPr>
              <w:rPr>
                <w:rFonts w:hint="eastAsia" w:ascii="宋体" w:hAnsi="宋体" w:eastAsia="宋体" w:cs="宋体"/>
                <w:b w:val="0"/>
                <w:bCs/>
                <w:sz w:val="21"/>
                <w:szCs w:val="21"/>
                <w:highlight w:val="none"/>
              </w:rPr>
            </w:pPr>
          </w:p>
        </w:tc>
      </w:tr>
      <w:tr w14:paraId="27DFAC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831" w:type="dxa"/>
            <w:tcBorders>
              <w:tl2br w:val="nil"/>
              <w:tr2bl w:val="nil"/>
            </w:tcBorders>
            <w:noWrap w:val="0"/>
            <w:vAlign w:val="center"/>
          </w:tcPr>
          <w:p w14:paraId="5DE2925A">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法定代表人</w:t>
            </w:r>
          </w:p>
          <w:p w14:paraId="33983F2B">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（负责人）</w:t>
            </w:r>
          </w:p>
        </w:tc>
        <w:tc>
          <w:tcPr>
            <w:tcW w:w="3569" w:type="dxa"/>
            <w:gridSpan w:val="2"/>
            <w:tcBorders>
              <w:tl2br w:val="nil"/>
              <w:tr2bl w:val="nil"/>
            </w:tcBorders>
            <w:noWrap w:val="0"/>
            <w:vAlign w:val="center"/>
          </w:tcPr>
          <w:p w14:paraId="2493C0AD">
            <w:pPr>
              <w:jc w:val="both"/>
              <w:rPr>
                <w:rFonts w:hint="eastAsia" w:ascii="宋体" w:hAnsi="宋体" w:eastAsia="宋体" w:cs="宋体"/>
                <w:b w:val="0"/>
                <w:bCs/>
                <w:sz w:val="21"/>
                <w:szCs w:val="21"/>
                <w:highlight w:val="none"/>
              </w:rPr>
            </w:pPr>
          </w:p>
        </w:tc>
        <w:tc>
          <w:tcPr>
            <w:tcW w:w="1620" w:type="dxa"/>
            <w:gridSpan w:val="2"/>
            <w:tcBorders>
              <w:tl2br w:val="nil"/>
              <w:tr2bl w:val="nil"/>
            </w:tcBorders>
            <w:noWrap w:val="0"/>
            <w:vAlign w:val="center"/>
          </w:tcPr>
          <w:p w14:paraId="075B08DD">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注册资金</w:t>
            </w:r>
          </w:p>
        </w:tc>
        <w:tc>
          <w:tcPr>
            <w:tcW w:w="1980" w:type="dxa"/>
            <w:tcBorders>
              <w:tl2br w:val="nil"/>
              <w:tr2bl w:val="nil"/>
            </w:tcBorders>
            <w:noWrap w:val="0"/>
            <w:vAlign w:val="center"/>
          </w:tcPr>
          <w:p w14:paraId="49044734">
            <w:pPr>
              <w:rPr>
                <w:rFonts w:hint="eastAsia" w:ascii="宋体" w:hAnsi="宋体" w:eastAsia="宋体" w:cs="宋体"/>
                <w:b w:val="0"/>
                <w:bCs/>
                <w:sz w:val="21"/>
                <w:szCs w:val="21"/>
                <w:highlight w:val="none"/>
              </w:rPr>
            </w:pPr>
          </w:p>
        </w:tc>
      </w:tr>
      <w:tr w14:paraId="268854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831" w:type="dxa"/>
            <w:tcBorders>
              <w:tl2br w:val="nil"/>
              <w:tr2bl w:val="nil"/>
            </w:tcBorders>
            <w:noWrap w:val="0"/>
            <w:vAlign w:val="center"/>
          </w:tcPr>
          <w:p w14:paraId="37BA4086">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联系电话</w:t>
            </w:r>
          </w:p>
        </w:tc>
        <w:tc>
          <w:tcPr>
            <w:tcW w:w="3569" w:type="dxa"/>
            <w:gridSpan w:val="2"/>
            <w:tcBorders>
              <w:tl2br w:val="nil"/>
              <w:tr2bl w:val="nil"/>
            </w:tcBorders>
            <w:noWrap w:val="0"/>
            <w:vAlign w:val="center"/>
          </w:tcPr>
          <w:p w14:paraId="48D801D2">
            <w:pPr>
              <w:jc w:val="both"/>
              <w:rPr>
                <w:rFonts w:hint="eastAsia" w:ascii="宋体" w:hAnsi="宋体" w:eastAsia="宋体" w:cs="宋体"/>
                <w:b w:val="0"/>
                <w:bCs/>
                <w:sz w:val="21"/>
                <w:szCs w:val="21"/>
                <w:highlight w:val="none"/>
              </w:rPr>
            </w:pPr>
          </w:p>
        </w:tc>
        <w:tc>
          <w:tcPr>
            <w:tcW w:w="1620" w:type="dxa"/>
            <w:gridSpan w:val="2"/>
            <w:tcBorders>
              <w:tl2br w:val="nil"/>
              <w:tr2bl w:val="nil"/>
            </w:tcBorders>
            <w:noWrap w:val="0"/>
            <w:vAlign w:val="center"/>
          </w:tcPr>
          <w:p w14:paraId="2012A9AE">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传真</w:t>
            </w:r>
          </w:p>
        </w:tc>
        <w:tc>
          <w:tcPr>
            <w:tcW w:w="1980" w:type="dxa"/>
            <w:tcBorders>
              <w:tl2br w:val="nil"/>
              <w:tr2bl w:val="nil"/>
            </w:tcBorders>
            <w:noWrap w:val="0"/>
            <w:vAlign w:val="center"/>
          </w:tcPr>
          <w:p w14:paraId="383016C9">
            <w:pPr>
              <w:rPr>
                <w:rFonts w:hint="eastAsia" w:ascii="宋体" w:hAnsi="宋体" w:eastAsia="宋体" w:cs="宋体"/>
                <w:b w:val="0"/>
                <w:bCs/>
                <w:sz w:val="21"/>
                <w:szCs w:val="21"/>
                <w:highlight w:val="none"/>
              </w:rPr>
            </w:pPr>
          </w:p>
        </w:tc>
      </w:tr>
      <w:tr w14:paraId="2447C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831" w:type="dxa"/>
            <w:vMerge w:val="restart"/>
            <w:tcBorders>
              <w:tl2br w:val="nil"/>
              <w:tr2bl w:val="nil"/>
            </w:tcBorders>
            <w:noWrap w:val="0"/>
            <w:vAlign w:val="center"/>
          </w:tcPr>
          <w:p w14:paraId="3B709042">
            <w:pPr>
              <w:jc w:val="center"/>
              <w:rPr>
                <w:rFonts w:hint="eastAsia" w:ascii="宋体" w:hAnsi="宋体" w:eastAsia="宋体" w:cs="宋体"/>
                <w:b w:val="0"/>
                <w:bCs/>
                <w:sz w:val="21"/>
                <w:szCs w:val="21"/>
                <w:highlight w:val="none"/>
                <w:lang w:eastAsia="zh-CN"/>
              </w:rPr>
            </w:pPr>
            <w:r>
              <w:rPr>
                <w:rFonts w:hint="eastAsia" w:ascii="宋体" w:hAnsi="宋体" w:eastAsia="宋体" w:cs="宋体"/>
                <w:b w:val="0"/>
                <w:bCs/>
                <w:sz w:val="21"/>
                <w:szCs w:val="21"/>
                <w:highlight w:val="none"/>
              </w:rPr>
              <w:t>投标联系人</w:t>
            </w:r>
            <w:r>
              <w:rPr>
                <w:rFonts w:hint="eastAsia" w:ascii="宋体" w:hAnsi="宋体" w:eastAsia="宋体" w:cs="宋体"/>
                <w:b w:val="0"/>
                <w:bCs/>
                <w:sz w:val="21"/>
                <w:szCs w:val="21"/>
                <w:highlight w:val="none"/>
                <w:lang w:val="en-US" w:eastAsia="zh-CN"/>
              </w:rPr>
              <w:t xml:space="preserve">   </w:t>
            </w:r>
            <w:r>
              <w:rPr>
                <w:rFonts w:hint="eastAsia" w:ascii="宋体" w:hAnsi="宋体" w:eastAsia="宋体" w:cs="宋体"/>
                <w:b w:val="0"/>
                <w:bCs/>
                <w:sz w:val="21"/>
                <w:szCs w:val="21"/>
                <w:highlight w:val="none"/>
                <w:lang w:eastAsia="zh-CN"/>
              </w:rPr>
              <w:t>（</w:t>
            </w:r>
            <w:r>
              <w:rPr>
                <w:rFonts w:hint="eastAsia" w:ascii="宋体" w:hAnsi="宋体" w:eastAsia="宋体" w:cs="宋体"/>
                <w:b w:val="0"/>
                <w:bCs/>
                <w:sz w:val="21"/>
                <w:szCs w:val="21"/>
                <w:highlight w:val="none"/>
                <w:lang w:val="en-US" w:eastAsia="zh-CN"/>
              </w:rPr>
              <w:t>谈判代表</w:t>
            </w:r>
            <w:r>
              <w:rPr>
                <w:rFonts w:hint="eastAsia" w:ascii="宋体" w:hAnsi="宋体" w:eastAsia="宋体" w:cs="宋体"/>
                <w:b w:val="0"/>
                <w:bCs/>
                <w:sz w:val="21"/>
                <w:szCs w:val="21"/>
                <w:highlight w:val="none"/>
                <w:lang w:eastAsia="zh-CN"/>
              </w:rPr>
              <w:t>）</w:t>
            </w:r>
          </w:p>
        </w:tc>
        <w:tc>
          <w:tcPr>
            <w:tcW w:w="1949" w:type="dxa"/>
            <w:tcBorders>
              <w:tl2br w:val="nil"/>
              <w:tr2bl w:val="nil"/>
            </w:tcBorders>
            <w:noWrap w:val="0"/>
            <w:vAlign w:val="center"/>
          </w:tcPr>
          <w:p w14:paraId="26C23863">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姓名</w:t>
            </w:r>
          </w:p>
        </w:tc>
        <w:tc>
          <w:tcPr>
            <w:tcW w:w="2520" w:type="dxa"/>
            <w:gridSpan w:val="2"/>
            <w:tcBorders>
              <w:tl2br w:val="nil"/>
              <w:tr2bl w:val="nil"/>
            </w:tcBorders>
            <w:noWrap w:val="0"/>
            <w:vAlign w:val="center"/>
          </w:tcPr>
          <w:p w14:paraId="18F9D7F6">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电话号码（手机）</w:t>
            </w:r>
          </w:p>
        </w:tc>
        <w:tc>
          <w:tcPr>
            <w:tcW w:w="2700" w:type="dxa"/>
            <w:gridSpan w:val="2"/>
            <w:tcBorders>
              <w:tl2br w:val="nil"/>
              <w:tr2bl w:val="nil"/>
            </w:tcBorders>
            <w:noWrap w:val="0"/>
            <w:vAlign w:val="center"/>
          </w:tcPr>
          <w:p w14:paraId="55C4034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E-mail</w:t>
            </w:r>
          </w:p>
        </w:tc>
      </w:tr>
      <w:tr w14:paraId="7CA767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831" w:type="dxa"/>
            <w:vMerge w:val="continue"/>
            <w:tcBorders>
              <w:tl2br w:val="nil"/>
              <w:tr2bl w:val="nil"/>
            </w:tcBorders>
            <w:noWrap w:val="0"/>
            <w:vAlign w:val="center"/>
          </w:tcPr>
          <w:p w14:paraId="57625E15">
            <w:pPr>
              <w:jc w:val="center"/>
              <w:rPr>
                <w:rFonts w:hint="eastAsia" w:ascii="宋体" w:hAnsi="宋体" w:eastAsia="宋体" w:cs="宋体"/>
                <w:b w:val="0"/>
                <w:bCs/>
                <w:sz w:val="21"/>
                <w:szCs w:val="21"/>
                <w:highlight w:val="none"/>
              </w:rPr>
            </w:pPr>
          </w:p>
        </w:tc>
        <w:tc>
          <w:tcPr>
            <w:tcW w:w="1949" w:type="dxa"/>
            <w:tcBorders>
              <w:tl2br w:val="nil"/>
              <w:tr2bl w:val="nil"/>
            </w:tcBorders>
            <w:noWrap w:val="0"/>
            <w:vAlign w:val="center"/>
          </w:tcPr>
          <w:p w14:paraId="040EF199">
            <w:pPr>
              <w:jc w:val="center"/>
              <w:rPr>
                <w:rFonts w:hint="eastAsia" w:ascii="宋体" w:hAnsi="宋体" w:eastAsia="宋体" w:cs="宋体"/>
                <w:b w:val="0"/>
                <w:bCs/>
                <w:sz w:val="21"/>
                <w:szCs w:val="21"/>
                <w:highlight w:val="none"/>
              </w:rPr>
            </w:pPr>
          </w:p>
        </w:tc>
        <w:tc>
          <w:tcPr>
            <w:tcW w:w="2520" w:type="dxa"/>
            <w:gridSpan w:val="2"/>
            <w:tcBorders>
              <w:tl2br w:val="nil"/>
              <w:tr2bl w:val="nil"/>
            </w:tcBorders>
            <w:noWrap w:val="0"/>
            <w:vAlign w:val="center"/>
          </w:tcPr>
          <w:p w14:paraId="141BB37E">
            <w:pPr>
              <w:jc w:val="center"/>
              <w:rPr>
                <w:rFonts w:hint="eastAsia" w:ascii="宋体" w:hAnsi="宋体" w:eastAsia="宋体" w:cs="宋体"/>
                <w:b w:val="0"/>
                <w:bCs/>
                <w:sz w:val="21"/>
                <w:szCs w:val="21"/>
                <w:highlight w:val="none"/>
              </w:rPr>
            </w:pPr>
          </w:p>
        </w:tc>
        <w:tc>
          <w:tcPr>
            <w:tcW w:w="2700" w:type="dxa"/>
            <w:gridSpan w:val="2"/>
            <w:tcBorders>
              <w:tl2br w:val="nil"/>
              <w:tr2bl w:val="nil"/>
            </w:tcBorders>
            <w:noWrap w:val="0"/>
            <w:vAlign w:val="center"/>
          </w:tcPr>
          <w:p w14:paraId="7DDDFF97">
            <w:pPr>
              <w:jc w:val="center"/>
              <w:rPr>
                <w:rFonts w:hint="eastAsia" w:ascii="宋体" w:hAnsi="宋体" w:eastAsia="宋体" w:cs="宋体"/>
                <w:b w:val="0"/>
                <w:bCs/>
                <w:sz w:val="21"/>
                <w:szCs w:val="21"/>
                <w:highlight w:val="none"/>
              </w:rPr>
            </w:pPr>
          </w:p>
        </w:tc>
      </w:tr>
      <w:tr w14:paraId="3B021C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23" w:hRule="atLeast"/>
          <w:jc w:val="center"/>
        </w:trPr>
        <w:tc>
          <w:tcPr>
            <w:tcW w:w="1831" w:type="dxa"/>
            <w:tcBorders>
              <w:tl2br w:val="nil"/>
              <w:tr2bl w:val="nil"/>
            </w:tcBorders>
            <w:noWrap w:val="0"/>
            <w:vAlign w:val="center"/>
          </w:tcPr>
          <w:p w14:paraId="2C8E9876">
            <w:pPr>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资格预审文件</w:t>
            </w:r>
          </w:p>
          <w:p w14:paraId="1CB2184D">
            <w:pPr>
              <w:jc w:val="center"/>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清单</w:t>
            </w:r>
          </w:p>
        </w:tc>
        <w:tc>
          <w:tcPr>
            <w:tcW w:w="7169" w:type="dxa"/>
            <w:gridSpan w:val="5"/>
            <w:tcBorders>
              <w:tl2br w:val="nil"/>
              <w:tr2bl w:val="nil"/>
            </w:tcBorders>
            <w:noWrap w:val="0"/>
            <w:vAlign w:val="center"/>
          </w:tcPr>
          <w:p w14:paraId="73A9811E">
            <w:pPr>
              <w:numPr>
                <w:ilvl w:val="0"/>
                <w:numId w:val="3"/>
              </w:numPr>
              <w:bidi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《统一社会信用代码营业执照》副本或组织机构代码证</w:t>
            </w:r>
            <w:r>
              <w:rPr>
                <w:rFonts w:hint="eastAsia" w:ascii="宋体" w:hAnsi="宋体" w:eastAsia="宋体" w:cs="宋体"/>
                <w:b w:val="0"/>
                <w:bCs/>
                <w:sz w:val="21"/>
                <w:szCs w:val="21"/>
                <w:highlight w:val="none"/>
                <w:lang w:val="en-US" w:eastAsia="zh-CN"/>
              </w:rPr>
              <w:sym w:font="Wingdings" w:char="00A8"/>
            </w:r>
          </w:p>
          <w:p w14:paraId="14200774">
            <w:pPr>
              <w:numPr>
                <w:ilvl w:val="0"/>
                <w:numId w:val="3"/>
              </w:numPr>
              <w:bidi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法定代表人身份证明书</w:t>
            </w:r>
            <w:r>
              <w:rPr>
                <w:rFonts w:hint="eastAsia" w:ascii="宋体" w:hAnsi="宋体" w:cs="宋体"/>
                <w:b w:val="0"/>
                <w:bCs/>
                <w:sz w:val="21"/>
                <w:szCs w:val="21"/>
                <w:highlight w:val="none"/>
                <w:lang w:val="en-US" w:eastAsia="zh-CN"/>
              </w:rPr>
              <w:t>及法人身份证复印件</w:t>
            </w:r>
            <w:r>
              <w:rPr>
                <w:rFonts w:hint="eastAsia" w:ascii="宋体" w:hAnsi="宋体" w:eastAsia="宋体" w:cs="宋体"/>
                <w:b w:val="0"/>
                <w:bCs/>
                <w:sz w:val="21"/>
                <w:szCs w:val="21"/>
                <w:highlight w:val="none"/>
                <w:lang w:val="en-US" w:eastAsia="zh-CN"/>
              </w:rPr>
              <w:t>（格式自拟）</w:t>
            </w:r>
            <w:r>
              <w:rPr>
                <w:rFonts w:hint="eastAsia" w:ascii="宋体" w:hAnsi="宋体" w:eastAsia="宋体" w:cs="宋体"/>
                <w:b w:val="0"/>
                <w:bCs/>
                <w:sz w:val="21"/>
                <w:szCs w:val="21"/>
                <w:highlight w:val="none"/>
                <w:lang w:val="en-US" w:eastAsia="zh-CN"/>
              </w:rPr>
              <w:sym w:font="Wingdings" w:char="00A8"/>
            </w:r>
          </w:p>
          <w:p w14:paraId="5E70F319">
            <w:pPr>
              <w:numPr>
                <w:ilvl w:val="0"/>
                <w:numId w:val="3"/>
              </w:numPr>
              <w:bidi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法定代表人授权委托书</w:t>
            </w:r>
            <w:r>
              <w:rPr>
                <w:rFonts w:hint="eastAsia" w:ascii="宋体" w:hAnsi="宋体" w:cs="宋体"/>
                <w:b w:val="0"/>
                <w:bCs/>
                <w:sz w:val="21"/>
                <w:szCs w:val="21"/>
                <w:highlight w:val="none"/>
                <w:lang w:val="en-US" w:eastAsia="zh-CN"/>
              </w:rPr>
              <w:t>及被委托人身份证复印件</w:t>
            </w:r>
            <w:r>
              <w:rPr>
                <w:rFonts w:hint="eastAsia" w:ascii="宋体" w:hAnsi="宋体" w:eastAsia="宋体" w:cs="宋体"/>
                <w:b w:val="0"/>
                <w:bCs/>
                <w:sz w:val="21"/>
                <w:szCs w:val="21"/>
                <w:highlight w:val="none"/>
                <w:lang w:val="en-US" w:eastAsia="zh-CN"/>
              </w:rPr>
              <w:t>（格式自拟）</w:t>
            </w:r>
            <w:r>
              <w:rPr>
                <w:rFonts w:hint="eastAsia" w:ascii="宋体" w:hAnsi="宋体" w:eastAsia="宋体" w:cs="宋体"/>
                <w:b w:val="0"/>
                <w:bCs/>
                <w:sz w:val="21"/>
                <w:szCs w:val="21"/>
                <w:highlight w:val="none"/>
                <w:lang w:val="en-US" w:eastAsia="zh-CN"/>
              </w:rPr>
              <w:sym w:font="Wingdings" w:char="00A8"/>
            </w:r>
          </w:p>
          <w:p w14:paraId="230B4B79">
            <w:pPr>
              <w:numPr>
                <w:ilvl w:val="0"/>
                <w:numId w:val="3"/>
              </w:numPr>
              <w:bidi w:val="0"/>
              <w:rPr>
                <w:rFonts w:hint="eastAsia" w:ascii="宋体" w:hAnsi="宋体" w:eastAsia="宋体" w:cs="宋体"/>
                <w:b w:val="0"/>
                <w:bCs/>
                <w:sz w:val="21"/>
                <w:szCs w:val="21"/>
                <w:highlight w:val="none"/>
                <w:lang w:val="en-US" w:eastAsia="zh-CN"/>
              </w:rPr>
            </w:pPr>
            <w:r>
              <w:rPr>
                <w:rFonts w:hint="eastAsia" w:ascii="宋体" w:hAnsi="宋体" w:eastAsia="宋体" w:cs="宋体"/>
                <w:b w:val="0"/>
                <w:bCs/>
                <w:sz w:val="21"/>
                <w:szCs w:val="21"/>
                <w:highlight w:val="none"/>
                <w:lang w:val="en-US" w:eastAsia="zh-CN"/>
              </w:rPr>
              <w:t>医疗行业执业许可证（需备注健康体检资质）</w:t>
            </w:r>
            <w:r>
              <w:rPr>
                <w:rFonts w:hint="eastAsia" w:ascii="宋体" w:hAnsi="宋体" w:eastAsia="宋体" w:cs="宋体"/>
                <w:b w:val="0"/>
                <w:bCs/>
                <w:sz w:val="21"/>
                <w:szCs w:val="21"/>
                <w:highlight w:val="none"/>
                <w:lang w:val="en-US" w:eastAsia="zh-CN"/>
              </w:rPr>
              <w:sym w:font="Wingdings" w:char="00A8"/>
            </w:r>
          </w:p>
        </w:tc>
      </w:tr>
      <w:tr w14:paraId="3F6E84A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1831" w:type="dxa"/>
            <w:tcBorders>
              <w:tl2br w:val="nil"/>
              <w:tr2bl w:val="nil"/>
            </w:tcBorders>
            <w:noWrap w:val="0"/>
            <w:vAlign w:val="center"/>
          </w:tcPr>
          <w:p w14:paraId="7BA10789">
            <w:pPr>
              <w:jc w:val="center"/>
              <w:rPr>
                <w:rFonts w:hint="eastAsia" w:ascii="宋体" w:hAnsi="宋体" w:eastAsia="宋体" w:cs="宋体"/>
                <w:b w:val="0"/>
                <w:bCs/>
                <w:sz w:val="21"/>
                <w:szCs w:val="21"/>
                <w:highlight w:val="none"/>
              </w:rPr>
            </w:pPr>
            <w:r>
              <w:rPr>
                <w:rFonts w:hint="eastAsia" w:ascii="宋体" w:hAnsi="宋体" w:eastAsia="宋体" w:cs="宋体"/>
                <w:b w:val="0"/>
                <w:bCs/>
                <w:sz w:val="21"/>
                <w:szCs w:val="21"/>
                <w:highlight w:val="none"/>
              </w:rPr>
              <w:t>备注</w:t>
            </w:r>
          </w:p>
        </w:tc>
        <w:tc>
          <w:tcPr>
            <w:tcW w:w="7169" w:type="dxa"/>
            <w:gridSpan w:val="5"/>
            <w:tcBorders>
              <w:tl2br w:val="nil"/>
              <w:tr2bl w:val="nil"/>
            </w:tcBorders>
            <w:noWrap w:val="0"/>
            <w:vAlign w:val="bottom"/>
          </w:tcPr>
          <w:p w14:paraId="685C0B5B">
            <w:pPr>
              <w:rPr>
                <w:rFonts w:hint="eastAsia" w:ascii="宋体" w:hAnsi="宋体" w:eastAsia="宋体" w:cs="宋体"/>
                <w:b w:val="0"/>
                <w:bCs/>
                <w:sz w:val="21"/>
                <w:szCs w:val="21"/>
                <w:highlight w:val="none"/>
              </w:rPr>
            </w:pPr>
          </w:p>
          <w:p w14:paraId="06C24963">
            <w:pPr>
              <w:rPr>
                <w:rFonts w:hint="eastAsia" w:ascii="宋体" w:hAnsi="宋体" w:eastAsia="宋体" w:cs="宋体"/>
                <w:b w:val="0"/>
                <w:bCs/>
                <w:sz w:val="21"/>
                <w:szCs w:val="21"/>
                <w:highlight w:val="none"/>
              </w:rPr>
            </w:pPr>
          </w:p>
          <w:p w14:paraId="09A0E344">
            <w:pPr>
              <w:rPr>
                <w:rFonts w:hint="eastAsia" w:ascii="宋体" w:hAnsi="宋体" w:eastAsia="宋体" w:cs="宋体"/>
                <w:b w:val="0"/>
                <w:bCs/>
                <w:sz w:val="21"/>
                <w:szCs w:val="21"/>
                <w:highlight w:val="none"/>
              </w:rPr>
            </w:pPr>
          </w:p>
          <w:p w14:paraId="79E5DE11">
            <w:pPr>
              <w:rPr>
                <w:rFonts w:hint="eastAsia" w:ascii="宋体" w:hAnsi="宋体" w:eastAsia="宋体" w:cs="宋体"/>
                <w:b w:val="0"/>
                <w:bCs/>
                <w:sz w:val="21"/>
                <w:szCs w:val="21"/>
                <w:highlight w:val="none"/>
              </w:rPr>
            </w:pPr>
          </w:p>
        </w:tc>
      </w:tr>
    </w:tbl>
    <w:p w14:paraId="6A3DBD36">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highlight w:val="none"/>
        </w:rPr>
      </w:pPr>
      <w:r>
        <w:rPr>
          <w:rFonts w:hint="eastAsia" w:ascii="宋体" w:hAnsi="宋体" w:eastAsia="宋体" w:cs="宋体"/>
          <w:b w:val="0"/>
          <w:bCs/>
          <w:sz w:val="21"/>
          <w:szCs w:val="21"/>
          <w:highlight w:val="none"/>
          <w:lang w:val="en-US" w:eastAsia="zh-CN"/>
        </w:rPr>
        <w:t>填报说明:本表为谈判公告附件，请有意向参与的</w:t>
      </w:r>
      <w:r>
        <w:rPr>
          <w:rFonts w:hint="eastAsia" w:ascii="宋体" w:hAnsi="宋体" w:cs="宋体"/>
          <w:b w:val="0"/>
          <w:bCs/>
          <w:sz w:val="21"/>
          <w:szCs w:val="21"/>
          <w:highlight w:val="none"/>
          <w:lang w:val="en-US" w:eastAsia="zh-CN"/>
        </w:rPr>
        <w:t>投标人</w:t>
      </w:r>
      <w:r>
        <w:rPr>
          <w:rFonts w:hint="eastAsia" w:ascii="宋体" w:hAnsi="宋体" w:eastAsia="宋体" w:cs="宋体"/>
          <w:b w:val="0"/>
          <w:bCs/>
          <w:sz w:val="21"/>
          <w:szCs w:val="21"/>
          <w:highlight w:val="none"/>
          <w:lang w:val="en-US" w:eastAsia="zh-CN"/>
        </w:rPr>
        <w:t>填报本表，并按序提交资格预审文件电子版（加盖公章扫描PDF格式，与本表压缩至文件包，以“拟投标人全称-响应文件”为格式,于</w:t>
      </w:r>
      <w:r>
        <w:rPr>
          <w:rFonts w:hint="eastAsia" w:ascii="宋体" w:hAnsi="宋体" w:cs="宋体"/>
          <w:b w:val="0"/>
          <w:bCs/>
          <w:sz w:val="21"/>
          <w:szCs w:val="21"/>
          <w:highlight w:val="none"/>
          <w:lang w:val="en-US" w:eastAsia="zh-CN"/>
        </w:rPr>
        <w:t>2024</w:t>
      </w:r>
      <w:r>
        <w:rPr>
          <w:rFonts w:hint="eastAsia" w:ascii="宋体" w:hAnsi="宋体" w:eastAsia="宋体" w:cs="宋体"/>
          <w:b w:val="0"/>
          <w:bCs/>
          <w:sz w:val="21"/>
          <w:szCs w:val="21"/>
          <w:highlight w:val="none"/>
          <w:lang w:val="en-US" w:eastAsia="zh-CN"/>
        </w:rPr>
        <w:t>年</w:t>
      </w:r>
      <w:r>
        <w:rPr>
          <w:rFonts w:hint="eastAsia" w:ascii="宋体" w:hAnsi="宋体" w:cs="宋体"/>
          <w:b w:val="0"/>
          <w:bCs/>
          <w:sz w:val="21"/>
          <w:szCs w:val="21"/>
          <w:highlight w:val="none"/>
          <w:lang w:val="en-US" w:eastAsia="zh-CN"/>
        </w:rPr>
        <w:t>10</w:t>
      </w:r>
      <w:r>
        <w:rPr>
          <w:rFonts w:hint="eastAsia" w:ascii="宋体" w:hAnsi="宋体" w:eastAsia="宋体" w:cs="宋体"/>
          <w:b w:val="0"/>
          <w:bCs/>
          <w:sz w:val="21"/>
          <w:szCs w:val="21"/>
          <w:highlight w:val="none"/>
          <w:lang w:val="en-US" w:eastAsia="zh-CN"/>
        </w:rPr>
        <w:t>月8日12时前发送至</w:t>
      </w:r>
      <w:r>
        <w:rPr>
          <w:rFonts w:hint="eastAsia" w:ascii="宋体" w:hAnsi="宋体" w:cs="宋体"/>
          <w:b w:val="0"/>
          <w:bCs/>
          <w:sz w:val="21"/>
          <w:szCs w:val="21"/>
          <w:highlight w:val="none"/>
          <w:lang w:val="en-US" w:eastAsia="zh-CN"/>
        </w:rPr>
        <w:t>huangxj</w:t>
      </w:r>
      <w:r>
        <w:rPr>
          <w:rFonts w:hint="eastAsia" w:ascii="宋体" w:hAnsi="宋体" w:eastAsia="宋体" w:cs="宋体"/>
          <w:b w:val="0"/>
          <w:bCs/>
          <w:sz w:val="21"/>
          <w:szCs w:val="21"/>
          <w:highlight w:val="none"/>
          <w:lang w:val="en-US" w:eastAsia="zh-CN"/>
        </w:rPr>
        <w:t>@plhr.cn）</w:t>
      </w:r>
    </w:p>
    <w:p w14:paraId="30F82708">
      <w:pPr>
        <w:rPr>
          <w:highlight w:val="none"/>
        </w:rPr>
      </w:pPr>
    </w:p>
    <w:p w14:paraId="6896BFEE">
      <w:pPr>
        <w:widowControl/>
        <w:spacing w:beforeLines="30" w:line="360" w:lineRule="auto"/>
        <w:ind w:firstLine="442" w:firstLineChars="200"/>
        <w:jc w:val="left"/>
        <w:rPr>
          <w:rFonts w:asciiTheme="minorEastAsia" w:hAnsiTheme="minorEastAsia"/>
          <w:b/>
          <w:sz w:val="22"/>
          <w:highlight w:val="none"/>
        </w:rPr>
      </w:pPr>
    </w:p>
    <w:p w14:paraId="3F73C5F9">
      <w:pPr>
        <w:widowControl/>
        <w:spacing w:beforeLines="30" w:line="360" w:lineRule="auto"/>
        <w:ind w:firstLine="442" w:firstLineChars="200"/>
        <w:jc w:val="left"/>
        <w:rPr>
          <w:rFonts w:asciiTheme="minorEastAsia" w:hAnsiTheme="minorEastAsia"/>
          <w:b/>
          <w:sz w:val="22"/>
          <w:highlight w:val="none"/>
        </w:rPr>
      </w:pPr>
    </w:p>
    <w:p w14:paraId="449958C3">
      <w:pPr>
        <w:widowControl/>
        <w:spacing w:beforeLines="30" w:line="360" w:lineRule="auto"/>
        <w:ind w:firstLine="442" w:firstLineChars="200"/>
        <w:jc w:val="left"/>
        <w:rPr>
          <w:rFonts w:asciiTheme="minorEastAsia" w:hAnsiTheme="minorEastAsia"/>
          <w:b/>
          <w:sz w:val="22"/>
          <w:highlight w:val="none"/>
        </w:rPr>
      </w:pPr>
    </w:p>
    <w:p w14:paraId="766FC689">
      <w:pPr>
        <w:pStyle w:val="2"/>
        <w:keepNext/>
        <w:keepLines/>
        <w:pageBreakBefore w:val="0"/>
        <w:widowControl w:val="0"/>
        <w:kinsoku/>
        <w:wordWrap/>
        <w:overflowPunct/>
        <w:topLinePunct w:val="0"/>
        <w:autoSpaceDE/>
        <w:autoSpaceDN/>
        <w:bidi w:val="0"/>
        <w:adjustRightInd/>
        <w:snapToGrid/>
        <w:spacing w:line="560" w:lineRule="exact"/>
        <w:jc w:val="center"/>
        <w:textAlignment w:val="auto"/>
        <w:rPr>
          <w:rFonts w:ascii="黑体" w:hAnsi="黑体" w:eastAsia="黑体" w:cs="黑体"/>
          <w:b w:val="0"/>
          <w:bCs/>
          <w:sz w:val="32"/>
          <w:szCs w:val="32"/>
          <w:highlight w:val="none"/>
        </w:rPr>
      </w:pPr>
      <w:bookmarkStart w:id="17" w:name="_Toc12088"/>
      <w:bookmarkStart w:id="18" w:name="_Toc10392"/>
      <w:bookmarkStart w:id="19" w:name="_Toc26240"/>
      <w:r>
        <w:rPr>
          <w:rFonts w:hint="eastAsia" w:ascii="黑体" w:hAnsi="黑体" w:eastAsia="黑体" w:cs="黑体"/>
          <w:b w:val="0"/>
          <w:bCs/>
          <w:sz w:val="32"/>
          <w:szCs w:val="32"/>
          <w:highlight w:val="none"/>
        </w:rPr>
        <w:t>第二部分 招标文件</w:t>
      </w:r>
      <w:bookmarkEnd w:id="17"/>
      <w:bookmarkEnd w:id="18"/>
      <w:bookmarkEnd w:id="19"/>
    </w:p>
    <w:p w14:paraId="2BE6DCA8">
      <w:pPr>
        <w:pStyle w:val="3"/>
        <w:keepNext/>
        <w:keepLines/>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cs="宋体"/>
          <w:b w:val="0"/>
          <w:bCs/>
          <w:sz w:val="28"/>
          <w:szCs w:val="28"/>
          <w:highlight w:val="none"/>
        </w:rPr>
      </w:pPr>
      <w:bookmarkStart w:id="20" w:name="_Toc4395"/>
      <w:bookmarkStart w:id="21" w:name="_Toc23646"/>
      <w:r>
        <w:rPr>
          <w:rFonts w:hint="eastAsia" w:ascii="黑体" w:hAnsi="黑体" w:eastAsia="黑体" w:cs="黑体"/>
          <w:b w:val="0"/>
          <w:bCs/>
          <w:sz w:val="32"/>
          <w:szCs w:val="32"/>
          <w:highlight w:val="none"/>
        </w:rPr>
        <w:t>第一章 项目概况及招标程序</w:t>
      </w:r>
      <w:bookmarkEnd w:id="20"/>
      <w:bookmarkEnd w:id="21"/>
    </w:p>
    <w:p w14:paraId="5ACF6F5B">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sz w:val="32"/>
          <w:szCs w:val="32"/>
          <w:highlight w:val="none"/>
          <w:lang w:val="zh-CN"/>
        </w:rPr>
      </w:pPr>
      <w:bookmarkStart w:id="22" w:name="_Toc24337"/>
      <w:r>
        <w:rPr>
          <w:rFonts w:hint="eastAsia" w:ascii="黑体" w:hAnsi="黑体" w:eastAsia="黑体" w:cs="黑体"/>
          <w:b w:val="0"/>
          <w:sz w:val="32"/>
          <w:szCs w:val="32"/>
          <w:highlight w:val="none"/>
          <w:lang w:val="zh-CN"/>
        </w:rPr>
        <w:t>一、项目名称</w:t>
      </w:r>
      <w:bookmarkEnd w:id="22"/>
    </w:p>
    <w:p w14:paraId="3E3BF8C8">
      <w:pPr>
        <w:pStyle w:val="8"/>
        <w:pageBreakBefore w:val="0"/>
        <w:widowControl w:val="0"/>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Cs/>
          <w:kern w:val="2"/>
          <w:sz w:val="32"/>
          <w:szCs w:val="32"/>
          <w:highlight w:val="none"/>
          <w:lang w:val="en-US" w:eastAsia="zh-CN"/>
        </w:rPr>
      </w:pPr>
      <w:r>
        <w:rPr>
          <w:rFonts w:hint="eastAsia" w:ascii="仿宋" w:hAnsi="仿宋" w:eastAsia="仿宋" w:cs="仿宋"/>
          <w:bCs/>
          <w:kern w:val="2"/>
          <w:sz w:val="32"/>
          <w:szCs w:val="32"/>
          <w:highlight w:val="none"/>
          <w:lang w:val="zh-CN"/>
        </w:rPr>
        <w:t>深圳市鹏劳人力资源管理有限公司</w:t>
      </w:r>
      <w:r>
        <w:rPr>
          <w:rFonts w:hint="eastAsia" w:ascii="仿宋" w:hAnsi="仿宋" w:eastAsia="仿宋" w:cs="仿宋"/>
          <w:bCs/>
          <w:kern w:val="2"/>
          <w:sz w:val="32"/>
          <w:szCs w:val="32"/>
          <w:highlight w:val="none"/>
          <w:lang w:val="en-US" w:eastAsia="zh-CN"/>
        </w:rPr>
        <w:t>2024年度</w:t>
      </w:r>
      <w:r>
        <w:rPr>
          <w:rFonts w:hint="eastAsia" w:ascii="仿宋" w:hAnsi="仿宋" w:eastAsia="仿宋" w:cs="仿宋"/>
          <w:bCs/>
          <w:kern w:val="2"/>
          <w:sz w:val="32"/>
          <w:szCs w:val="32"/>
          <w:highlight w:val="none"/>
          <w:lang w:val="zh-CN"/>
        </w:rPr>
        <w:t>外派员工</w:t>
      </w:r>
      <w:r>
        <w:rPr>
          <w:rFonts w:hint="eastAsia" w:ascii="仿宋" w:hAnsi="仿宋" w:eastAsia="仿宋" w:cs="仿宋"/>
          <w:bCs/>
          <w:kern w:val="2"/>
          <w:sz w:val="32"/>
          <w:szCs w:val="32"/>
          <w:highlight w:val="none"/>
          <w:lang w:val="en-US" w:eastAsia="zh-CN"/>
        </w:rPr>
        <w:t>健康</w:t>
      </w:r>
      <w:r>
        <w:rPr>
          <w:rFonts w:hint="eastAsia" w:ascii="仿宋" w:hAnsi="仿宋" w:eastAsia="仿宋" w:cs="仿宋"/>
          <w:bCs/>
          <w:kern w:val="2"/>
          <w:sz w:val="32"/>
          <w:szCs w:val="32"/>
          <w:highlight w:val="none"/>
          <w:lang w:val="zh-CN"/>
        </w:rPr>
        <w:t>体检服务采购</w:t>
      </w:r>
      <w:r>
        <w:rPr>
          <w:rFonts w:hint="eastAsia" w:ascii="仿宋" w:hAnsi="仿宋" w:eastAsia="仿宋" w:cs="仿宋"/>
          <w:bCs/>
          <w:kern w:val="2"/>
          <w:sz w:val="32"/>
          <w:szCs w:val="32"/>
          <w:highlight w:val="none"/>
          <w:lang w:val="en-US" w:eastAsia="zh-CN"/>
        </w:rPr>
        <w:t>项目（二次）</w:t>
      </w:r>
    </w:p>
    <w:p w14:paraId="12979BD7">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sz w:val="32"/>
          <w:szCs w:val="32"/>
          <w:highlight w:val="none"/>
          <w:lang w:val="zh-CN"/>
        </w:rPr>
      </w:pPr>
      <w:bookmarkStart w:id="23" w:name="_Toc324"/>
      <w:r>
        <w:rPr>
          <w:rFonts w:hint="eastAsia" w:ascii="黑体" w:hAnsi="黑体" w:eastAsia="黑体" w:cs="黑体"/>
          <w:b w:val="0"/>
          <w:sz w:val="32"/>
          <w:szCs w:val="32"/>
          <w:highlight w:val="none"/>
          <w:lang w:val="zh-CN"/>
        </w:rPr>
        <w:t>二、招标编号</w:t>
      </w:r>
      <w:bookmarkEnd w:id="23"/>
    </w:p>
    <w:p w14:paraId="1C4B9A64">
      <w:pPr>
        <w:pStyle w:val="8"/>
        <w:pageBreakBefore w:val="0"/>
        <w:widowControl w:val="0"/>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default" w:ascii="仿宋" w:hAnsi="仿宋" w:eastAsia="仿宋" w:cs="仿宋"/>
          <w:bCs/>
          <w:kern w:val="2"/>
          <w:sz w:val="32"/>
          <w:szCs w:val="32"/>
          <w:highlight w:val="none"/>
          <w:lang w:val="en-US" w:eastAsia="zh-CN"/>
        </w:rPr>
      </w:pPr>
      <w:r>
        <w:rPr>
          <w:rFonts w:hint="eastAsia" w:ascii="仿宋" w:hAnsi="仿宋" w:eastAsia="仿宋" w:cs="仿宋"/>
          <w:bCs/>
          <w:kern w:val="2"/>
          <w:sz w:val="32"/>
          <w:szCs w:val="32"/>
          <w:highlight w:val="none"/>
        </w:rPr>
        <w:t>PLHR-ZB-FW-</w:t>
      </w:r>
      <w:r>
        <w:rPr>
          <w:rFonts w:hint="eastAsia" w:ascii="仿宋" w:hAnsi="仿宋" w:eastAsia="仿宋" w:cs="仿宋"/>
          <w:bCs/>
          <w:kern w:val="2"/>
          <w:sz w:val="32"/>
          <w:szCs w:val="32"/>
          <w:highlight w:val="none"/>
          <w:lang w:eastAsia="zh-CN"/>
        </w:rPr>
        <w:t>20240601</w:t>
      </w:r>
    </w:p>
    <w:p w14:paraId="72280F20">
      <w:pPr>
        <w:pStyle w:val="4"/>
        <w:pageBreakBefore w:val="0"/>
        <w:widowControl w:val="0"/>
        <w:kinsoku/>
        <w:wordWrap/>
        <w:overflowPunct/>
        <w:topLinePunct w:val="0"/>
        <w:autoSpaceDE/>
        <w:autoSpaceDN/>
        <w:bidi w:val="0"/>
        <w:spacing w:before="0" w:after="0" w:line="560" w:lineRule="exact"/>
        <w:ind w:firstLine="640" w:firstLineChars="200"/>
        <w:textAlignment w:val="auto"/>
        <w:rPr>
          <w:rFonts w:hint="eastAsia" w:ascii="黑体" w:hAnsi="黑体" w:eastAsia="黑体" w:cs="黑体"/>
          <w:b w:val="0"/>
          <w:sz w:val="32"/>
          <w:szCs w:val="32"/>
          <w:highlight w:val="none"/>
        </w:rPr>
      </w:pPr>
      <w:bookmarkStart w:id="24" w:name="_Toc22072"/>
      <w:r>
        <w:rPr>
          <w:rFonts w:hint="eastAsia" w:ascii="黑体" w:hAnsi="黑体" w:eastAsia="黑体" w:cs="黑体"/>
          <w:b w:val="0"/>
          <w:sz w:val="32"/>
          <w:szCs w:val="32"/>
          <w:highlight w:val="none"/>
        </w:rPr>
        <w:t>三、投标人资质要求</w:t>
      </w:r>
      <w:bookmarkEnd w:id="24"/>
    </w:p>
    <w:p w14:paraId="71FD10F9">
      <w:pPr>
        <w:pStyle w:val="8"/>
        <w:pageBreakBefore w:val="0"/>
        <w:widowControl w:val="0"/>
        <w:tabs>
          <w:tab w:val="left" w:pos="7740"/>
        </w:tabs>
        <w:kinsoku/>
        <w:wordWrap/>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（一）投标人为国内注册（指按国家有关规定要求注册的），经营本次采购内容，具备法人资格的医院，或具备法人资格且具有国家卫生行政部门颁发的《中华人民共和国医疗经营许可证》专业体检机构；</w:t>
      </w:r>
    </w:p>
    <w:p w14:paraId="45BF76CE">
      <w:pPr>
        <w:pStyle w:val="8"/>
        <w:pageBreakBefore w:val="0"/>
        <w:widowControl w:val="0"/>
        <w:tabs>
          <w:tab w:val="left" w:pos="7740"/>
        </w:tabs>
        <w:kinsoku/>
        <w:wordWrap/>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（二）投标人具有完全响应本项目采购需求的能力；</w:t>
      </w:r>
    </w:p>
    <w:p w14:paraId="0C0D497A">
      <w:pPr>
        <w:pStyle w:val="8"/>
        <w:keepNext w:val="0"/>
        <w:keepLines w:val="0"/>
        <w:pageBreakBefore w:val="0"/>
        <w:widowControl w:val="0"/>
        <w:tabs>
          <w:tab w:val="left" w:pos="7740"/>
        </w:tabs>
        <w:kinsoku/>
        <w:wordWrap w:val="0"/>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rPr>
        <w:t>）投标人无对在“信用中国”网站(www.creditchina.gov.cn)、中国政府采购网(www.ccgp.gov.cn)等渠道列入失信被执行人、重大税收违法案件当事人名单、政府采购严重违法失信行为记录名单的情况；</w:t>
      </w:r>
    </w:p>
    <w:p w14:paraId="36C4B85E">
      <w:pPr>
        <w:pStyle w:val="8"/>
        <w:pageBreakBefore w:val="0"/>
        <w:widowControl w:val="0"/>
        <w:tabs>
          <w:tab w:val="left" w:pos="7740"/>
        </w:tabs>
        <w:kinsoku/>
        <w:wordWrap/>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（四）投标人如为与招标人合作的既往供应商，需满足招标人关于供应商的管理规定，同时既往三年内无重大事故、服务投诉或质量不符合记录；</w:t>
      </w:r>
    </w:p>
    <w:p w14:paraId="54F8CC27">
      <w:pPr>
        <w:pStyle w:val="8"/>
        <w:pageBreakBefore w:val="0"/>
        <w:widowControl w:val="0"/>
        <w:tabs>
          <w:tab w:val="left" w:pos="7740"/>
        </w:tabs>
        <w:kinsoku/>
        <w:wordWrap/>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（五）投标人能够开具符合国家法律法规规定的增值税发票，如所提供的产品或服务税率不同，须按照相应税率分别开具发票；</w:t>
      </w:r>
    </w:p>
    <w:p w14:paraId="2E016CC6">
      <w:pPr>
        <w:pStyle w:val="8"/>
        <w:pageBreakBefore w:val="0"/>
        <w:widowControl w:val="0"/>
        <w:tabs>
          <w:tab w:val="left" w:pos="7740"/>
        </w:tabs>
        <w:kinsoku/>
        <w:wordWrap/>
        <w:overflowPunct/>
        <w:topLinePunct w:val="0"/>
        <w:autoSpaceDE/>
        <w:autoSpaceDN/>
        <w:bidi w:val="0"/>
        <w:adjustRightInd w:val="0"/>
        <w:snapToGrid w:val="0"/>
        <w:spacing w:line="560" w:lineRule="exact"/>
        <w:ind w:firstLine="560"/>
        <w:textAlignment w:val="auto"/>
        <w:rPr>
          <w:rFonts w:hint="eastAsia" w:ascii="仿宋_GB2312" w:hAnsi="仿宋_GB2312" w:eastAsia="仿宋_GB2312" w:cs="仿宋_GB2312"/>
          <w:bCs/>
          <w:kern w:val="2"/>
          <w:sz w:val="32"/>
          <w:szCs w:val="32"/>
          <w:highlight w:val="none"/>
        </w:rPr>
      </w:pPr>
      <w:r>
        <w:rPr>
          <w:rFonts w:hint="eastAsia" w:ascii="仿宋_GB2312" w:hAnsi="仿宋_GB2312" w:eastAsia="仿宋_GB2312" w:cs="仿宋_GB2312"/>
          <w:bCs/>
          <w:sz w:val="32"/>
          <w:szCs w:val="32"/>
          <w:highlight w:val="none"/>
        </w:rPr>
        <w:t>本项目不接受联合体竞标或分标段投标。</w:t>
      </w:r>
      <w:r>
        <w:rPr>
          <w:rFonts w:hint="eastAsia" w:ascii="仿宋_GB2312" w:hAnsi="仿宋_GB2312" w:eastAsia="仿宋_GB2312" w:cs="仿宋_GB2312"/>
          <w:bCs/>
          <w:kern w:val="2"/>
          <w:sz w:val="32"/>
          <w:szCs w:val="32"/>
          <w:highlight w:val="none"/>
        </w:rPr>
        <w:t>投标人应如实提供资质信息及随附证明文件，不得弄虚作假，提供虚假资质信息或虚假的随附证明文件一经查实，取消本项目投标资格，同时三年内不得参加招标人其他项目招标或采购。</w:t>
      </w:r>
    </w:p>
    <w:p w14:paraId="77C3D2E2">
      <w:pPr>
        <w:pStyle w:val="4"/>
        <w:pageBreakBefore w:val="0"/>
        <w:widowControl w:val="0"/>
        <w:kinsoku/>
        <w:wordWrap/>
        <w:overflowPunct/>
        <w:topLinePunct w:val="0"/>
        <w:autoSpaceDE/>
        <w:autoSpaceDN/>
        <w:bidi w:val="0"/>
        <w:spacing w:before="0" w:after="0" w:line="560" w:lineRule="exact"/>
        <w:ind w:firstLine="560"/>
        <w:textAlignment w:val="auto"/>
        <w:rPr>
          <w:rFonts w:hint="eastAsia" w:ascii="黑体" w:hAnsi="黑体" w:eastAsia="黑体" w:cs="黑体"/>
          <w:b w:val="0"/>
          <w:sz w:val="32"/>
          <w:szCs w:val="32"/>
          <w:highlight w:val="none"/>
          <w:lang w:val="zh-CN"/>
        </w:rPr>
      </w:pPr>
      <w:bookmarkStart w:id="25" w:name="_Toc13670"/>
      <w:r>
        <w:rPr>
          <w:rFonts w:hint="eastAsia" w:ascii="黑体" w:hAnsi="黑体" w:eastAsia="黑体" w:cs="黑体"/>
          <w:b w:val="0"/>
          <w:sz w:val="32"/>
          <w:szCs w:val="32"/>
          <w:highlight w:val="none"/>
          <w:lang w:val="zh-CN"/>
        </w:rPr>
        <w:t>四、项目内容、服务需求及期限</w:t>
      </w:r>
      <w:bookmarkEnd w:id="25"/>
    </w:p>
    <w:p w14:paraId="7ED4BD1E">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楷体_GB2312" w:hAnsi="楷体_GB2312" w:eastAsia="楷体_GB2312" w:cs="楷体_GB2312"/>
          <w:bCs/>
          <w:sz w:val="32"/>
          <w:szCs w:val="32"/>
          <w:highlight w:val="none"/>
        </w:rPr>
      </w:pPr>
      <w:bookmarkStart w:id="26" w:name="_Toc15949_WPSOffice_Level2"/>
      <w:r>
        <w:rPr>
          <w:rFonts w:hint="eastAsia" w:ascii="楷体_GB2312" w:hAnsi="楷体_GB2312" w:eastAsia="楷体_GB2312" w:cs="楷体_GB2312"/>
          <w:bCs/>
          <w:sz w:val="32"/>
          <w:szCs w:val="32"/>
          <w:highlight w:val="none"/>
        </w:rPr>
        <w:t>（一）项目内容</w:t>
      </w:r>
      <w:bookmarkEnd w:id="26"/>
    </w:p>
    <w:p w14:paraId="776804C2">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在项目周期内，根据招标人外派员工性别、年龄，根据分项限价设计适宜于招标人外派员工体检套餐并提供体检服务，出具体检结果与报告，提供健康管理建议。   </w:t>
      </w:r>
    </w:p>
    <w:p w14:paraId="5AB3EB0F">
      <w:pPr>
        <w:pageBreakBefore w:val="0"/>
        <w:widowControl/>
        <w:numPr>
          <w:ilvl w:val="0"/>
          <w:numId w:val="4"/>
        </w:numPr>
        <w:kinsoku/>
        <w:wordWrap/>
        <w:overflowPunct/>
        <w:topLinePunct w:val="0"/>
        <w:autoSpaceDE/>
        <w:autoSpaceDN/>
        <w:bidi w:val="0"/>
        <w:snapToGrid w:val="0"/>
        <w:spacing w:line="560" w:lineRule="exact"/>
        <w:ind w:firstLine="640" w:firstLineChars="200"/>
        <w:jc w:val="left"/>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项目需求</w:t>
      </w:r>
    </w:p>
    <w:p w14:paraId="025AAED2">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1.投标人应为在中国境内注册并具有独立法人资格、经营范围具有相关资格的合法企业，有能力按照本招标文件规定的要求提供招标服务，能独立承担本招标文件所示民事等法律责任和合同义务。</w:t>
      </w:r>
    </w:p>
    <w:p w14:paraId="6886BB9D">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2.投标人应为招标人外派员工提供便利的线上、线下体检预约渠道，同时设置合理体检服务期限，开设企业综合专场，同时为逾期未能参加综合专场体检服务员工提供灵活、机动、合理的体检服务补检；</w:t>
      </w:r>
    </w:p>
    <w:p w14:paraId="26522B40">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3.投标人提供的体检服务地点应至少包含以下区域：北京、四川成都、四川德阳、上海、江苏苏州、辽宁大连、广东广州、广东深圳等地区。</w:t>
      </w:r>
    </w:p>
    <w:p w14:paraId="5DCC28A1">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.投标人应为招标人外派员工提供至少包含以下内容的随附服务：</w:t>
      </w:r>
    </w:p>
    <w:p w14:paraId="54B56BDB">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1）深圳</w:t>
      </w:r>
      <w:r>
        <w:rPr>
          <w:rFonts w:hint="eastAsia" w:ascii="仿宋_GB2312" w:hAnsi="仿宋_GB2312" w:eastAsia="仿宋_GB2312" w:cs="仿宋_GB2312"/>
          <w:bCs/>
          <w:sz w:val="32"/>
          <w:szCs w:val="32"/>
          <w:highlight w:val="none"/>
        </w:rPr>
        <w:t>市非市中心区</w:t>
      </w:r>
      <w:r>
        <w:rPr>
          <w:rFonts w:hint="eastAsia" w:ascii="仿宋_GB2312" w:hAnsi="仿宋_GB2312" w:eastAsia="仿宋_GB2312" w:cs="仿宋_GB2312"/>
          <w:bCs/>
          <w:sz w:val="32"/>
          <w:szCs w:val="32"/>
          <w:highlight w:val="none"/>
          <w:lang w:val="en-US" w:eastAsia="zh-CN"/>
        </w:rPr>
        <w:t>大亚湾片区、龙岗片区（约470人）</w:t>
      </w:r>
      <w:r>
        <w:rPr>
          <w:rFonts w:hint="eastAsia" w:ascii="仿宋_GB2312" w:hAnsi="仿宋_GB2312" w:eastAsia="仿宋_GB2312" w:cs="仿宋_GB2312"/>
          <w:bCs/>
          <w:sz w:val="32"/>
          <w:szCs w:val="32"/>
          <w:highlight w:val="none"/>
        </w:rPr>
        <w:t>人员工作地点与体检地点往返程车辆接送</w:t>
      </w:r>
      <w:r>
        <w:rPr>
          <w:rFonts w:hint="eastAsia" w:ascii="仿宋_GB2312" w:hAnsi="仿宋_GB2312" w:eastAsia="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rPr>
        <w:t>可协调安排集中预约批次</w:t>
      </w:r>
      <w:r>
        <w:rPr>
          <w:rFonts w:hint="eastAsia" w:ascii="仿宋_GB2312" w:hAnsi="仿宋_GB2312" w:eastAsia="仿宋_GB2312" w:cs="仿宋_GB2312"/>
          <w:bCs/>
          <w:sz w:val="32"/>
          <w:szCs w:val="32"/>
          <w:highlight w:val="none"/>
          <w:lang w:val="en-US" w:eastAsia="zh-CN"/>
        </w:rPr>
        <w:t>,接送人数以实际统计人数为准）；</w:t>
      </w:r>
    </w:p>
    <w:p w14:paraId="2811DF26">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苏州市姑苏区（约50人）人员工作地点与体检地点往返程车辆接送,（</w:t>
      </w:r>
      <w:r>
        <w:rPr>
          <w:rFonts w:hint="eastAsia" w:ascii="仿宋_GB2312" w:hAnsi="仿宋_GB2312" w:eastAsia="仿宋_GB2312" w:cs="仿宋_GB2312"/>
          <w:bCs/>
          <w:sz w:val="32"/>
          <w:szCs w:val="32"/>
          <w:highlight w:val="none"/>
        </w:rPr>
        <w:t>可协调安排集中预约批次</w:t>
      </w:r>
      <w:r>
        <w:rPr>
          <w:rFonts w:hint="eastAsia" w:ascii="仿宋_GB2312" w:hAnsi="仿宋_GB2312" w:eastAsia="仿宋_GB2312" w:cs="仿宋_GB2312"/>
          <w:bCs/>
          <w:sz w:val="32"/>
          <w:szCs w:val="32"/>
          <w:highlight w:val="none"/>
          <w:lang w:val="en-US" w:eastAsia="zh-CN"/>
        </w:rPr>
        <w:t>,接送人数以实际统计人数为准）；</w:t>
      </w:r>
    </w:p>
    <w:p w14:paraId="47393BAA">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个人纸质及电子版体检报告</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如员工有特别要求的，需提供纸质版本</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w:t>
      </w:r>
    </w:p>
    <w:p w14:paraId="480B58F1">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体检当日营养早餐；</w:t>
      </w:r>
    </w:p>
    <w:p w14:paraId="46FBA916">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疑似肿瘤、癌症，重度心血管疾病，血液、血压、尿酸指标中度以上异常重大阳性结果或复查提示通知；</w:t>
      </w:r>
    </w:p>
    <w:p w14:paraId="172F99E8">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6）如发现</w:t>
      </w:r>
      <w:r>
        <w:rPr>
          <w:rFonts w:hint="eastAsia" w:ascii="仿宋_GB2312" w:hAnsi="仿宋_GB2312" w:eastAsia="仿宋_GB2312" w:cs="仿宋_GB2312"/>
          <w:bCs/>
          <w:sz w:val="32"/>
          <w:szCs w:val="32"/>
          <w:highlight w:val="none"/>
        </w:rPr>
        <w:t>肿瘤标志物异常</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有专业医务人员提供检后复查提醒服务；</w:t>
      </w:r>
    </w:p>
    <w:p w14:paraId="362F160F">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肿瘤标志物异常30个工作日内免费复查；</w:t>
      </w:r>
    </w:p>
    <w:p w14:paraId="1B2D47F2">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.投标人应为招标人提供外派员工团体体检汇总报告</w:t>
      </w:r>
      <w:r>
        <w:rPr>
          <w:rFonts w:hint="eastAsia" w:ascii="仿宋_GB2312" w:hAnsi="仿宋_GB2312" w:eastAsia="仿宋_GB2312" w:cs="仿宋_GB2312"/>
          <w:bCs/>
          <w:sz w:val="32"/>
          <w:szCs w:val="32"/>
          <w:highlight w:val="none"/>
          <w:lang w:eastAsia="zh-CN"/>
        </w:rPr>
        <w:t>；</w:t>
      </w:r>
    </w:p>
    <w:p w14:paraId="331BB847">
      <w:pPr>
        <w:keepNext w:val="0"/>
        <w:keepLines w:val="0"/>
        <w:pageBreakBefore w:val="0"/>
        <w:widowControl/>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
          <w:bCs w:val="0"/>
          <w:sz w:val="32"/>
          <w:szCs w:val="32"/>
          <w:highlight w:val="none"/>
        </w:rPr>
      </w:pPr>
      <w:r>
        <w:rPr>
          <w:rFonts w:hint="eastAsia" w:ascii="仿宋_GB2312" w:hAnsi="仿宋_GB2312" w:eastAsia="仿宋_GB2312" w:cs="仿宋_GB2312"/>
          <w:b/>
          <w:bCs w:val="0"/>
          <w:sz w:val="32"/>
          <w:szCs w:val="32"/>
          <w:highlight w:val="none"/>
          <w:lang w:val="en-US" w:eastAsia="zh-CN"/>
        </w:rPr>
        <w:t>6</w:t>
      </w:r>
      <w:r>
        <w:rPr>
          <w:rFonts w:hint="eastAsia" w:ascii="仿宋_GB2312" w:hAnsi="仿宋_GB2312" w:eastAsia="仿宋_GB2312" w:cs="仿宋_GB2312"/>
          <w:b/>
          <w:bCs w:val="0"/>
          <w:sz w:val="32"/>
          <w:szCs w:val="32"/>
          <w:highlight w:val="none"/>
        </w:rPr>
        <w:t>.投标人需根据招标文件所示限价情况在本条目所示项目基础上自行增加或提出更优方案并出具报价，不得减少基准项目或降低标准</w:t>
      </w:r>
      <w:r>
        <w:rPr>
          <w:rFonts w:hint="eastAsia" w:ascii="仿宋_GB2312" w:hAnsi="仿宋_GB2312" w:eastAsia="仿宋_GB2312" w:cs="仿宋_GB2312"/>
          <w:b/>
          <w:bCs w:val="0"/>
          <w:sz w:val="32"/>
          <w:szCs w:val="32"/>
          <w:highlight w:val="none"/>
          <w:lang w:eastAsia="zh-CN"/>
        </w:rPr>
        <w:t>。擅自删减</w:t>
      </w:r>
      <w:r>
        <w:rPr>
          <w:rFonts w:hint="eastAsia" w:ascii="仿宋_GB2312" w:hAnsi="仿宋_GB2312" w:eastAsia="仿宋_GB2312" w:cs="仿宋_GB2312"/>
          <w:b/>
          <w:bCs w:val="0"/>
          <w:sz w:val="32"/>
          <w:szCs w:val="32"/>
          <w:highlight w:val="none"/>
          <w:lang w:val="en-US" w:eastAsia="zh-CN"/>
        </w:rPr>
        <w:t>变更</w:t>
      </w:r>
      <w:r>
        <w:rPr>
          <w:rFonts w:hint="eastAsia" w:ascii="仿宋_GB2312" w:hAnsi="仿宋_GB2312" w:eastAsia="仿宋_GB2312" w:cs="仿宋_GB2312"/>
          <w:b/>
          <w:bCs w:val="0"/>
          <w:sz w:val="32"/>
          <w:szCs w:val="32"/>
          <w:highlight w:val="none"/>
          <w:lang w:eastAsia="zh-CN"/>
        </w:rPr>
        <w:t>项目或降低</w:t>
      </w:r>
      <w:r>
        <w:rPr>
          <w:rFonts w:hint="eastAsia" w:ascii="仿宋_GB2312" w:hAnsi="仿宋_GB2312" w:eastAsia="仿宋_GB2312" w:cs="仿宋_GB2312"/>
          <w:b/>
          <w:bCs w:val="0"/>
          <w:sz w:val="32"/>
          <w:szCs w:val="32"/>
          <w:highlight w:val="none"/>
        </w:rPr>
        <w:t>标准的报价文件</w:t>
      </w:r>
      <w:r>
        <w:rPr>
          <w:rFonts w:hint="eastAsia" w:ascii="仿宋_GB2312" w:hAnsi="仿宋_GB2312" w:eastAsia="仿宋_GB2312" w:cs="仿宋_GB2312"/>
          <w:b/>
          <w:bCs w:val="0"/>
          <w:sz w:val="32"/>
          <w:szCs w:val="32"/>
          <w:highlight w:val="none"/>
          <w:lang w:eastAsia="zh-CN"/>
        </w:rPr>
        <w:t>无效。</w:t>
      </w:r>
    </w:p>
    <w:p w14:paraId="1FF5F6CB">
      <w:pPr>
        <w:keepNext w:val="0"/>
        <w:keepLines w:val="0"/>
        <w:pageBreakBefore w:val="0"/>
        <w:widowControl/>
        <w:kinsoku/>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限价不超过390元标准套餐应至少包括以下基准项目:</w:t>
      </w:r>
    </w:p>
    <w:tbl>
      <w:tblPr>
        <w:tblStyle w:val="15"/>
        <w:tblW w:w="775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72"/>
        <w:gridCol w:w="2364"/>
        <w:gridCol w:w="4416"/>
      </w:tblGrid>
      <w:tr w14:paraId="5CDFFB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972" w:type="dxa"/>
            <w:tcBorders>
              <w:tl2br w:val="nil"/>
              <w:tr2bl w:val="nil"/>
            </w:tcBorders>
            <w:shd w:val="clear" w:color="auto" w:fill="auto"/>
            <w:vAlign w:val="center"/>
          </w:tcPr>
          <w:p w14:paraId="5411E119">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序号</w:t>
            </w:r>
          </w:p>
        </w:tc>
        <w:tc>
          <w:tcPr>
            <w:tcW w:w="2364" w:type="dxa"/>
            <w:tcBorders>
              <w:tl2br w:val="nil"/>
              <w:tr2bl w:val="nil"/>
            </w:tcBorders>
            <w:shd w:val="clear" w:color="auto" w:fill="auto"/>
            <w:vAlign w:val="center"/>
          </w:tcPr>
          <w:p w14:paraId="2206AEA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检查大类</w:t>
            </w:r>
          </w:p>
        </w:tc>
        <w:tc>
          <w:tcPr>
            <w:tcW w:w="4416" w:type="dxa"/>
            <w:tcBorders>
              <w:tl2br w:val="nil"/>
              <w:tr2bl w:val="nil"/>
            </w:tcBorders>
            <w:shd w:val="clear" w:color="auto" w:fill="auto"/>
            <w:vAlign w:val="center"/>
          </w:tcPr>
          <w:p w14:paraId="05C406DF">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4"/>
                <w:szCs w:val="24"/>
                <w:highlight w:val="none"/>
                <w:u w:val="none"/>
              </w:rPr>
            </w:pPr>
            <w:r>
              <w:rPr>
                <w:rFonts w:hint="eastAsia" w:asciiTheme="minorEastAsia" w:hAnsiTheme="minorEastAsia" w:eastAsiaTheme="minorEastAsia" w:cstheme="minorEastAsia"/>
                <w:b/>
                <w:bCs/>
                <w:i w:val="0"/>
                <w:iCs w:val="0"/>
                <w:color w:val="000000"/>
                <w:kern w:val="0"/>
                <w:sz w:val="24"/>
                <w:szCs w:val="24"/>
                <w:highlight w:val="none"/>
                <w:u w:val="none"/>
                <w:lang w:val="en-US" w:eastAsia="zh-CN" w:bidi="ar"/>
              </w:rPr>
              <w:t>基准项目</w:t>
            </w:r>
          </w:p>
        </w:tc>
      </w:tr>
      <w:tr w14:paraId="74A332B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208C1F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364" w:type="dxa"/>
            <w:vMerge w:val="restart"/>
            <w:tcBorders>
              <w:tl2br w:val="nil"/>
              <w:tr2bl w:val="nil"/>
            </w:tcBorders>
            <w:shd w:val="clear" w:color="auto" w:fill="auto"/>
            <w:vAlign w:val="center"/>
          </w:tcPr>
          <w:p w14:paraId="4BEC80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一般检查</w:t>
            </w:r>
          </w:p>
        </w:tc>
        <w:tc>
          <w:tcPr>
            <w:tcW w:w="4416" w:type="dxa"/>
            <w:tcBorders>
              <w:tl2br w:val="nil"/>
              <w:tr2bl w:val="nil"/>
            </w:tcBorders>
            <w:shd w:val="clear" w:color="auto" w:fill="auto"/>
            <w:vAlign w:val="center"/>
          </w:tcPr>
          <w:p w14:paraId="5E912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身高、体重</w:t>
            </w:r>
          </w:p>
        </w:tc>
      </w:tr>
      <w:tr w14:paraId="0E6DB91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7D0695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2364" w:type="dxa"/>
            <w:vMerge w:val="continue"/>
            <w:tcBorders>
              <w:tl2br w:val="nil"/>
              <w:tr2bl w:val="nil"/>
            </w:tcBorders>
            <w:shd w:val="clear" w:color="auto" w:fill="auto"/>
            <w:vAlign w:val="center"/>
          </w:tcPr>
          <w:p w14:paraId="49D16A0D">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615F6A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血压</w:t>
            </w:r>
          </w:p>
        </w:tc>
      </w:tr>
      <w:tr w14:paraId="0F689C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58912E2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2364" w:type="dxa"/>
            <w:tcBorders>
              <w:tl2br w:val="nil"/>
              <w:tr2bl w:val="nil"/>
            </w:tcBorders>
            <w:shd w:val="clear" w:color="auto" w:fill="auto"/>
            <w:vAlign w:val="center"/>
          </w:tcPr>
          <w:p w14:paraId="3BEC17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c>
          <w:tcPr>
            <w:tcW w:w="4416" w:type="dxa"/>
            <w:tcBorders>
              <w:tl2br w:val="nil"/>
              <w:tr2bl w:val="nil"/>
            </w:tcBorders>
            <w:shd w:val="clear" w:color="auto" w:fill="auto"/>
            <w:vAlign w:val="center"/>
          </w:tcPr>
          <w:p w14:paraId="6218BEF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r>
      <w:tr w14:paraId="04EBCF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1A73E4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2364" w:type="dxa"/>
            <w:tcBorders>
              <w:tl2br w:val="nil"/>
              <w:tr2bl w:val="nil"/>
            </w:tcBorders>
            <w:shd w:val="clear" w:color="auto" w:fill="auto"/>
            <w:vAlign w:val="center"/>
          </w:tcPr>
          <w:p w14:paraId="0CF428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c>
          <w:tcPr>
            <w:tcW w:w="4416" w:type="dxa"/>
            <w:tcBorders>
              <w:tl2br w:val="nil"/>
              <w:tr2bl w:val="nil"/>
            </w:tcBorders>
            <w:shd w:val="clear" w:color="auto" w:fill="auto"/>
            <w:vAlign w:val="center"/>
          </w:tcPr>
          <w:p w14:paraId="5AFAC0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r>
      <w:tr w14:paraId="4BF09F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149B7D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2364" w:type="dxa"/>
            <w:tcBorders>
              <w:tl2br w:val="nil"/>
              <w:tr2bl w:val="nil"/>
            </w:tcBorders>
            <w:shd w:val="clear" w:color="auto" w:fill="auto"/>
            <w:vAlign w:val="center"/>
          </w:tcPr>
          <w:p w14:paraId="2F7A4F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c>
          <w:tcPr>
            <w:tcW w:w="4416" w:type="dxa"/>
            <w:tcBorders>
              <w:tl2br w:val="nil"/>
              <w:tr2bl w:val="nil"/>
            </w:tcBorders>
            <w:shd w:val="clear" w:color="auto" w:fill="auto"/>
            <w:vAlign w:val="center"/>
          </w:tcPr>
          <w:p w14:paraId="45107B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r>
      <w:tr w14:paraId="2FE6B9A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0701BE3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2364" w:type="dxa"/>
            <w:tcBorders>
              <w:tl2br w:val="nil"/>
              <w:tr2bl w:val="nil"/>
            </w:tcBorders>
            <w:shd w:val="clear" w:color="auto" w:fill="auto"/>
            <w:vAlign w:val="center"/>
          </w:tcPr>
          <w:p w14:paraId="1E8523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c>
          <w:tcPr>
            <w:tcW w:w="4416" w:type="dxa"/>
            <w:tcBorders>
              <w:tl2br w:val="nil"/>
              <w:tr2bl w:val="nil"/>
            </w:tcBorders>
            <w:shd w:val="clear" w:color="auto" w:fill="auto"/>
            <w:vAlign w:val="center"/>
          </w:tcPr>
          <w:p w14:paraId="7DC977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r>
      <w:tr w14:paraId="29663D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972" w:type="dxa"/>
            <w:tcBorders>
              <w:tl2br w:val="nil"/>
              <w:tr2bl w:val="nil"/>
            </w:tcBorders>
            <w:shd w:val="clear" w:color="auto" w:fill="auto"/>
            <w:vAlign w:val="center"/>
          </w:tcPr>
          <w:p w14:paraId="1EA4690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2364" w:type="dxa"/>
            <w:tcBorders>
              <w:tl2br w:val="nil"/>
              <w:tr2bl w:val="nil"/>
            </w:tcBorders>
            <w:shd w:val="clear" w:color="auto" w:fill="auto"/>
            <w:vAlign w:val="center"/>
          </w:tcPr>
          <w:p w14:paraId="60F3D5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口腔科</w:t>
            </w:r>
          </w:p>
        </w:tc>
        <w:tc>
          <w:tcPr>
            <w:tcW w:w="4416" w:type="dxa"/>
            <w:tcBorders>
              <w:tl2br w:val="nil"/>
              <w:tr2bl w:val="nil"/>
            </w:tcBorders>
            <w:shd w:val="clear" w:color="auto" w:fill="auto"/>
            <w:vAlign w:val="center"/>
          </w:tcPr>
          <w:p w14:paraId="3F2956A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口腔常规检查，全面了解口腔健康状况，及时发现口腔科常见疾病。</w:t>
            </w:r>
          </w:p>
        </w:tc>
      </w:tr>
      <w:tr w14:paraId="4043CD9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0" w:hRule="atLeast"/>
          <w:jc w:val="center"/>
        </w:trPr>
        <w:tc>
          <w:tcPr>
            <w:tcW w:w="972" w:type="dxa"/>
            <w:tcBorders>
              <w:tl2br w:val="nil"/>
              <w:tr2bl w:val="nil"/>
            </w:tcBorders>
            <w:shd w:val="clear" w:color="auto" w:fill="auto"/>
            <w:vAlign w:val="center"/>
          </w:tcPr>
          <w:p w14:paraId="4A72FF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2364" w:type="dxa"/>
            <w:vMerge w:val="restart"/>
            <w:tcBorders>
              <w:tl2br w:val="nil"/>
              <w:tr2bl w:val="nil"/>
            </w:tcBorders>
            <w:shd w:val="clear" w:color="auto" w:fill="auto"/>
            <w:vAlign w:val="center"/>
          </w:tcPr>
          <w:p w14:paraId="1DB4D56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肝功能七项</w:t>
            </w:r>
          </w:p>
        </w:tc>
        <w:tc>
          <w:tcPr>
            <w:tcW w:w="4416" w:type="dxa"/>
            <w:tcBorders>
              <w:tl2br w:val="nil"/>
              <w:tr2bl w:val="nil"/>
            </w:tcBorders>
            <w:shd w:val="clear" w:color="auto" w:fill="auto"/>
            <w:vAlign w:val="center"/>
          </w:tcPr>
          <w:p w14:paraId="42CCA2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丙氨酸氨基转移酶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(ALT) \ </w:t>
            </w:r>
            <w:r>
              <w:rPr>
                <w:rFonts w:hint="eastAsia" w:ascii="宋体" w:hAnsi="宋体" w:eastAsia="宋体" w:cs="宋体"/>
                <w:i w:val="0"/>
                <w:iCs w:val="0"/>
                <w:color w:val="000000"/>
                <w:kern w:val="0"/>
                <w:sz w:val="21"/>
                <w:szCs w:val="21"/>
                <w:highlight w:val="none"/>
                <w:u w:val="none"/>
                <w:lang w:val="en-US" w:eastAsia="zh-CN" w:bidi="ar"/>
              </w:rPr>
              <w:t>天门冬氨酸氨基转移酶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(AST) \ </w:t>
            </w:r>
            <w:r>
              <w:rPr>
                <w:rFonts w:hint="eastAsia" w:ascii="宋体" w:hAnsi="宋体" w:eastAsia="宋体" w:cs="宋体"/>
                <w:i w:val="0"/>
                <w:iCs w:val="0"/>
                <w:color w:val="000000"/>
                <w:kern w:val="0"/>
                <w:sz w:val="21"/>
                <w:szCs w:val="21"/>
                <w:highlight w:val="none"/>
                <w:u w:val="none"/>
                <w:lang w:val="en-US" w:eastAsia="zh-CN" w:bidi="ar"/>
              </w:rPr>
              <w:t>谷氨酰转肽酶</w:t>
            </w:r>
            <w:r>
              <w:rPr>
                <w:rFonts w:hint="default" w:ascii="Times New Roman" w:hAnsi="Times New Roman" w:eastAsia="宋体" w:cs="Times New Roman"/>
                <w:i w:val="0"/>
                <w:iCs w:val="0"/>
                <w:color w:val="000000"/>
                <w:kern w:val="0"/>
                <w:sz w:val="21"/>
                <w:szCs w:val="21"/>
                <w:highlight w:val="none"/>
                <w:u w:val="none"/>
                <w:lang w:val="en-US" w:eastAsia="zh-CN" w:bidi="ar"/>
              </w:rPr>
              <w:t>(GGT)</w:t>
            </w:r>
          </w:p>
        </w:tc>
      </w:tr>
      <w:tr w14:paraId="6B70BB1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622C01F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2364" w:type="dxa"/>
            <w:vMerge w:val="continue"/>
            <w:tcBorders>
              <w:tl2br w:val="nil"/>
              <w:tr2bl w:val="nil"/>
            </w:tcBorders>
            <w:shd w:val="clear" w:color="auto" w:fill="auto"/>
            <w:vAlign w:val="center"/>
          </w:tcPr>
          <w:p w14:paraId="66C09756">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2745C7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血清蛋白四项</w:t>
            </w:r>
          </w:p>
        </w:tc>
      </w:tr>
      <w:tr w14:paraId="121B05D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6CFDC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2364" w:type="dxa"/>
            <w:tcBorders>
              <w:tl2br w:val="nil"/>
              <w:tr2bl w:val="nil"/>
            </w:tcBorders>
            <w:shd w:val="clear" w:color="auto" w:fill="auto"/>
            <w:vAlign w:val="center"/>
          </w:tcPr>
          <w:p w14:paraId="562D5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肾功能三项</w:t>
            </w:r>
          </w:p>
        </w:tc>
        <w:tc>
          <w:tcPr>
            <w:tcW w:w="4416" w:type="dxa"/>
            <w:tcBorders>
              <w:tl2br w:val="nil"/>
              <w:tr2bl w:val="nil"/>
            </w:tcBorders>
            <w:shd w:val="clear" w:color="auto" w:fill="auto"/>
            <w:vAlign w:val="center"/>
          </w:tcPr>
          <w:p w14:paraId="550C23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尿素氮</w:t>
            </w:r>
            <w:r>
              <w:rPr>
                <w:rFonts w:hint="default" w:ascii="Times New Roman" w:hAnsi="Times New Roman" w:eastAsia="宋体" w:cs="Times New Roman"/>
                <w:i w:val="0"/>
                <w:iCs w:val="0"/>
                <w:color w:val="000000"/>
                <w:kern w:val="0"/>
                <w:sz w:val="21"/>
                <w:szCs w:val="21"/>
                <w:highlight w:val="none"/>
                <w:u w:val="none"/>
                <w:lang w:val="en-US" w:eastAsia="zh-CN" w:bidi="ar"/>
              </w:rPr>
              <w:t>(BUN)</w:t>
            </w:r>
            <w:r>
              <w:rPr>
                <w:rFonts w:hint="eastAsia" w:ascii="宋体" w:hAnsi="宋体" w:eastAsia="宋体" w:cs="宋体"/>
                <w:i w:val="0"/>
                <w:iCs w:val="0"/>
                <w:color w:val="000000"/>
                <w:kern w:val="0"/>
                <w:sz w:val="21"/>
                <w:szCs w:val="21"/>
                <w:highlight w:val="none"/>
                <w:u w:val="none"/>
                <w:lang w:val="en-US" w:eastAsia="zh-CN" w:bidi="ar"/>
              </w:rPr>
              <w:t>、肌肝</w:t>
            </w:r>
            <w:r>
              <w:rPr>
                <w:rFonts w:hint="default" w:ascii="Times New Roman" w:hAnsi="Times New Roman" w:eastAsia="宋体" w:cs="Times New Roman"/>
                <w:i w:val="0"/>
                <w:iCs w:val="0"/>
                <w:color w:val="000000"/>
                <w:kern w:val="0"/>
                <w:sz w:val="21"/>
                <w:szCs w:val="21"/>
                <w:highlight w:val="none"/>
                <w:u w:val="none"/>
                <w:lang w:val="en-US" w:eastAsia="zh-CN" w:bidi="ar"/>
              </w:rPr>
              <w:t>(CR)</w:t>
            </w:r>
            <w:r>
              <w:rPr>
                <w:rFonts w:hint="eastAsia" w:ascii="宋体" w:hAnsi="宋体" w:eastAsia="宋体" w:cs="宋体"/>
                <w:i w:val="0"/>
                <w:iCs w:val="0"/>
                <w:color w:val="000000"/>
                <w:kern w:val="0"/>
                <w:sz w:val="21"/>
                <w:szCs w:val="21"/>
                <w:highlight w:val="none"/>
                <w:u w:val="none"/>
                <w:lang w:val="en-US" w:eastAsia="zh-CN" w:bidi="ar"/>
              </w:rPr>
              <w:t>、尿酸</w:t>
            </w:r>
          </w:p>
        </w:tc>
      </w:tr>
      <w:tr w14:paraId="74B6C2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6B65F57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2364" w:type="dxa"/>
            <w:tcBorders>
              <w:tl2br w:val="nil"/>
              <w:tr2bl w:val="nil"/>
            </w:tcBorders>
            <w:shd w:val="clear" w:color="auto" w:fill="auto"/>
            <w:vAlign w:val="center"/>
          </w:tcPr>
          <w:p w14:paraId="0365662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血脂两项</w:t>
            </w:r>
          </w:p>
        </w:tc>
        <w:tc>
          <w:tcPr>
            <w:tcW w:w="4416" w:type="dxa"/>
            <w:tcBorders>
              <w:tl2br w:val="nil"/>
              <w:tr2bl w:val="nil"/>
            </w:tcBorders>
            <w:shd w:val="clear" w:color="auto" w:fill="auto"/>
            <w:vAlign w:val="center"/>
          </w:tcPr>
          <w:p w14:paraId="5D7F05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总胆固醇、甘油三脂</w:t>
            </w:r>
          </w:p>
        </w:tc>
      </w:tr>
      <w:tr w14:paraId="25CE6C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05B605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2364" w:type="dxa"/>
            <w:tcBorders>
              <w:tl2br w:val="nil"/>
              <w:tr2bl w:val="nil"/>
            </w:tcBorders>
            <w:shd w:val="clear" w:color="auto" w:fill="auto"/>
            <w:vAlign w:val="center"/>
          </w:tcPr>
          <w:p w14:paraId="466DB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c>
          <w:tcPr>
            <w:tcW w:w="4416" w:type="dxa"/>
            <w:tcBorders>
              <w:tl2br w:val="nil"/>
              <w:tr2bl w:val="nil"/>
            </w:tcBorders>
            <w:shd w:val="clear" w:color="auto" w:fill="auto"/>
            <w:vAlign w:val="center"/>
          </w:tcPr>
          <w:p w14:paraId="7A0FD7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r>
      <w:tr w14:paraId="405031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4CE26F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2364" w:type="dxa"/>
            <w:tcBorders>
              <w:tl2br w:val="nil"/>
              <w:tr2bl w:val="nil"/>
            </w:tcBorders>
            <w:shd w:val="clear" w:color="auto" w:fill="auto"/>
            <w:vAlign w:val="center"/>
          </w:tcPr>
          <w:p w14:paraId="502964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血糖</w:t>
            </w:r>
          </w:p>
        </w:tc>
        <w:tc>
          <w:tcPr>
            <w:tcW w:w="4416" w:type="dxa"/>
            <w:tcBorders>
              <w:tl2br w:val="nil"/>
              <w:tr2bl w:val="nil"/>
            </w:tcBorders>
            <w:shd w:val="clear" w:color="auto" w:fill="auto"/>
            <w:vAlign w:val="center"/>
          </w:tcPr>
          <w:p w14:paraId="08E4A07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空腹血糖</w:t>
            </w:r>
          </w:p>
        </w:tc>
      </w:tr>
      <w:tr w14:paraId="2199505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3AB675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2364" w:type="dxa"/>
            <w:vMerge w:val="restart"/>
            <w:tcBorders>
              <w:tl2br w:val="nil"/>
              <w:tr2bl w:val="nil"/>
            </w:tcBorders>
            <w:shd w:val="clear" w:color="auto" w:fill="auto"/>
            <w:vAlign w:val="center"/>
          </w:tcPr>
          <w:p w14:paraId="0FD647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肿瘤筛查七项</w:t>
            </w:r>
          </w:p>
        </w:tc>
        <w:tc>
          <w:tcPr>
            <w:tcW w:w="4416" w:type="dxa"/>
            <w:tcBorders>
              <w:tl2br w:val="nil"/>
              <w:tr2bl w:val="nil"/>
            </w:tcBorders>
            <w:shd w:val="clear" w:color="auto" w:fill="auto"/>
            <w:vAlign w:val="center"/>
          </w:tcPr>
          <w:p w14:paraId="6BD5F2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癌胚抗原</w:t>
            </w:r>
            <w:r>
              <w:rPr>
                <w:rFonts w:hint="default" w:ascii="Times New Roman" w:hAnsi="Times New Roman" w:eastAsia="宋体" w:cs="Times New Roman"/>
                <w:i w:val="0"/>
                <w:iCs w:val="0"/>
                <w:color w:val="000000"/>
                <w:kern w:val="0"/>
                <w:sz w:val="21"/>
                <w:szCs w:val="21"/>
                <w:highlight w:val="none"/>
                <w:u w:val="none"/>
                <w:lang w:val="en-US" w:eastAsia="zh-CN" w:bidi="ar"/>
              </w:rPr>
              <w:t>CEA(</w:t>
            </w:r>
            <w:r>
              <w:rPr>
                <w:rFonts w:hint="eastAsia" w:ascii="宋体" w:hAnsi="宋体" w:eastAsia="宋体" w:cs="宋体"/>
                <w:i w:val="0"/>
                <w:iCs w:val="0"/>
                <w:color w:val="000000"/>
                <w:kern w:val="0"/>
                <w:sz w:val="21"/>
                <w:szCs w:val="21"/>
                <w:highlight w:val="none"/>
                <w:u w:val="none"/>
                <w:lang w:val="en-US" w:eastAsia="zh-CN" w:bidi="ar"/>
              </w:rPr>
              <w:t>定量</w:t>
            </w:r>
            <w:r>
              <w:rPr>
                <w:rFonts w:hint="default" w:ascii="Times New Roman" w:hAnsi="Times New Roman" w:eastAsia="宋体" w:cs="Times New Roman"/>
                <w:i w:val="0"/>
                <w:iCs w:val="0"/>
                <w:color w:val="000000"/>
                <w:kern w:val="0"/>
                <w:sz w:val="21"/>
                <w:szCs w:val="21"/>
                <w:highlight w:val="none"/>
                <w:u w:val="none"/>
                <w:lang w:val="en-US" w:eastAsia="zh-CN" w:bidi="ar"/>
              </w:rPr>
              <w:t>)</w:t>
            </w:r>
          </w:p>
        </w:tc>
      </w:tr>
      <w:tr w14:paraId="612F1AF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25600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2364" w:type="dxa"/>
            <w:vMerge w:val="continue"/>
            <w:tcBorders>
              <w:tl2br w:val="nil"/>
              <w:tr2bl w:val="nil"/>
            </w:tcBorders>
            <w:shd w:val="clear" w:color="auto" w:fill="auto"/>
            <w:vAlign w:val="center"/>
          </w:tcPr>
          <w:p w14:paraId="7E249D92">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2EAF7A9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甲胎蛋白</w:t>
            </w:r>
            <w:r>
              <w:rPr>
                <w:rFonts w:hint="default" w:ascii="Times New Roman" w:hAnsi="Times New Roman" w:eastAsia="宋体" w:cs="Times New Roman"/>
                <w:i w:val="0"/>
                <w:iCs w:val="0"/>
                <w:color w:val="000000"/>
                <w:kern w:val="0"/>
                <w:sz w:val="21"/>
                <w:szCs w:val="21"/>
                <w:highlight w:val="none"/>
                <w:u w:val="none"/>
                <w:lang w:val="en-US" w:eastAsia="zh-CN" w:bidi="ar"/>
              </w:rPr>
              <w:t>AFP</w:t>
            </w:r>
            <w:r>
              <w:rPr>
                <w:rFonts w:hint="eastAsia" w:ascii="宋体" w:hAnsi="宋体" w:eastAsia="宋体" w:cs="宋体"/>
                <w:i w:val="0"/>
                <w:iCs w:val="0"/>
                <w:color w:val="000000"/>
                <w:kern w:val="0"/>
                <w:sz w:val="21"/>
                <w:szCs w:val="21"/>
                <w:highlight w:val="none"/>
                <w:u w:val="none"/>
                <w:lang w:val="en-US" w:eastAsia="zh-CN" w:bidi="ar"/>
              </w:rPr>
              <w:t>（定量）</w:t>
            </w:r>
          </w:p>
        </w:tc>
      </w:tr>
      <w:tr w14:paraId="50F216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6AF24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2364" w:type="dxa"/>
            <w:vMerge w:val="continue"/>
            <w:tcBorders>
              <w:tl2br w:val="nil"/>
              <w:tr2bl w:val="nil"/>
            </w:tcBorders>
            <w:shd w:val="clear" w:color="auto" w:fill="auto"/>
            <w:vAlign w:val="center"/>
          </w:tcPr>
          <w:p w14:paraId="44A53DEF">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742B7B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242</w:t>
            </w:r>
          </w:p>
        </w:tc>
      </w:tr>
      <w:tr w14:paraId="05DFA97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04845EC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2364" w:type="dxa"/>
            <w:vMerge w:val="continue"/>
            <w:tcBorders>
              <w:tl2br w:val="nil"/>
              <w:tr2bl w:val="nil"/>
            </w:tcBorders>
            <w:shd w:val="clear" w:color="auto" w:fill="auto"/>
            <w:vAlign w:val="center"/>
          </w:tcPr>
          <w:p w14:paraId="0FB6B04A">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601B331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125</w:t>
            </w:r>
          </w:p>
        </w:tc>
      </w:tr>
      <w:tr w14:paraId="5FA8E0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125E6E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2364" w:type="dxa"/>
            <w:vMerge w:val="continue"/>
            <w:tcBorders>
              <w:tl2br w:val="nil"/>
              <w:tr2bl w:val="nil"/>
            </w:tcBorders>
            <w:shd w:val="clear" w:color="auto" w:fill="auto"/>
            <w:vAlign w:val="center"/>
          </w:tcPr>
          <w:p w14:paraId="3E64B444">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0AFDEF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神经元特异性烯醇化酶</w:t>
            </w:r>
          </w:p>
        </w:tc>
      </w:tr>
      <w:tr w14:paraId="388290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59E9FC4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2364" w:type="dxa"/>
            <w:vMerge w:val="continue"/>
            <w:tcBorders>
              <w:tl2br w:val="nil"/>
              <w:tr2bl w:val="nil"/>
            </w:tcBorders>
            <w:shd w:val="clear" w:color="auto" w:fill="auto"/>
            <w:vAlign w:val="center"/>
          </w:tcPr>
          <w:p w14:paraId="6225425B">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118024D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人绒毛膜促性腺激素游离</w:t>
            </w:r>
            <w:r>
              <w:rPr>
                <w:rFonts w:hint="default" w:ascii="Times New Roman" w:hAnsi="Times New Roman" w:eastAsia="宋体" w:cs="Times New Roman"/>
                <w:i w:val="0"/>
                <w:iCs w:val="0"/>
                <w:color w:val="000000"/>
                <w:kern w:val="0"/>
                <w:sz w:val="21"/>
                <w:szCs w:val="21"/>
                <w:highlight w:val="none"/>
                <w:u w:val="none"/>
                <w:lang w:val="en-US" w:eastAsia="zh-CN" w:bidi="ar"/>
              </w:rPr>
              <w:t>β</w:t>
            </w:r>
            <w:r>
              <w:rPr>
                <w:rFonts w:hint="eastAsia" w:ascii="宋体" w:hAnsi="宋体" w:eastAsia="宋体" w:cs="宋体"/>
                <w:i w:val="0"/>
                <w:iCs w:val="0"/>
                <w:color w:val="000000"/>
                <w:kern w:val="0"/>
                <w:sz w:val="21"/>
                <w:szCs w:val="21"/>
                <w:highlight w:val="none"/>
                <w:u w:val="none"/>
                <w:lang w:val="en-US" w:eastAsia="zh-CN" w:bidi="ar"/>
              </w:rPr>
              <w:t>亚基</w:t>
            </w:r>
          </w:p>
        </w:tc>
      </w:tr>
      <w:tr w14:paraId="088A7C8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18FB288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2364" w:type="dxa"/>
            <w:vMerge w:val="continue"/>
            <w:tcBorders>
              <w:tl2br w:val="nil"/>
              <w:tr2bl w:val="nil"/>
            </w:tcBorders>
            <w:shd w:val="clear" w:color="auto" w:fill="auto"/>
            <w:vAlign w:val="center"/>
          </w:tcPr>
          <w:p w14:paraId="3E57CE2B">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03FC63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细胞角蛋白</w:t>
            </w:r>
          </w:p>
        </w:tc>
      </w:tr>
      <w:tr w14:paraId="6AA946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2" w:type="dxa"/>
            <w:tcBorders>
              <w:tl2br w:val="nil"/>
              <w:tr2bl w:val="nil"/>
            </w:tcBorders>
            <w:shd w:val="clear" w:color="auto" w:fill="auto"/>
            <w:vAlign w:val="center"/>
          </w:tcPr>
          <w:p w14:paraId="15A599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2364" w:type="dxa"/>
            <w:tcBorders>
              <w:tl2br w:val="nil"/>
              <w:tr2bl w:val="nil"/>
            </w:tcBorders>
            <w:shd w:val="clear" w:color="auto" w:fill="auto"/>
            <w:vAlign w:val="center"/>
          </w:tcPr>
          <w:p w14:paraId="714568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血常规</w:t>
            </w:r>
          </w:p>
        </w:tc>
        <w:tc>
          <w:tcPr>
            <w:tcW w:w="4416" w:type="dxa"/>
            <w:tcBorders>
              <w:tl2br w:val="nil"/>
              <w:tr2bl w:val="nil"/>
            </w:tcBorders>
            <w:shd w:val="clear" w:color="auto" w:fill="auto"/>
            <w:vAlign w:val="center"/>
          </w:tcPr>
          <w:p w14:paraId="29242C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红细胞计数</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RBC</w:t>
            </w:r>
            <w:r>
              <w:rPr>
                <w:rFonts w:hint="eastAsia" w:ascii="宋体" w:hAnsi="宋体" w:eastAsia="宋体" w:cs="宋体"/>
                <w:i w:val="0"/>
                <w:iCs w:val="0"/>
                <w:color w:val="000000"/>
                <w:kern w:val="0"/>
                <w:sz w:val="21"/>
                <w:szCs w:val="21"/>
                <w:highlight w:val="none"/>
                <w:u w:val="none"/>
                <w:lang w:val="en-US" w:eastAsia="zh-CN" w:bidi="ar"/>
              </w:rPr>
              <w:t>）、红细胞压积（</w:t>
            </w:r>
            <w:r>
              <w:rPr>
                <w:rFonts w:hint="default" w:ascii="Times New Roman" w:hAnsi="Times New Roman" w:eastAsia="宋体" w:cs="Times New Roman"/>
                <w:i w:val="0"/>
                <w:iCs w:val="0"/>
                <w:color w:val="000000"/>
                <w:kern w:val="0"/>
                <w:sz w:val="21"/>
                <w:szCs w:val="21"/>
                <w:highlight w:val="none"/>
                <w:u w:val="none"/>
                <w:lang w:val="en-US" w:eastAsia="zh-CN" w:bidi="ar"/>
              </w:rPr>
              <w:t>HCT</w:t>
            </w:r>
            <w:r>
              <w:rPr>
                <w:rFonts w:hint="eastAsia" w:ascii="宋体" w:hAnsi="宋体" w:eastAsia="宋体" w:cs="宋体"/>
                <w:i w:val="0"/>
                <w:iCs w:val="0"/>
                <w:color w:val="000000"/>
                <w:kern w:val="0"/>
                <w:sz w:val="21"/>
                <w:szCs w:val="21"/>
                <w:highlight w:val="none"/>
                <w:u w:val="none"/>
                <w:lang w:val="en-US" w:eastAsia="zh-CN" w:bidi="ar"/>
              </w:rPr>
              <w:t>）、平均血红蛋白浓度（</w:t>
            </w:r>
            <w:r>
              <w:rPr>
                <w:rFonts w:hint="default" w:ascii="Times New Roman" w:hAnsi="Times New Roman" w:eastAsia="宋体" w:cs="Times New Roman"/>
                <w:i w:val="0"/>
                <w:iCs w:val="0"/>
                <w:color w:val="000000"/>
                <w:kern w:val="0"/>
                <w:sz w:val="21"/>
                <w:szCs w:val="21"/>
                <w:highlight w:val="none"/>
                <w:u w:val="none"/>
                <w:lang w:val="en-US" w:eastAsia="zh-CN" w:bidi="ar"/>
              </w:rPr>
              <w:t>MCHC</w:t>
            </w:r>
            <w:r>
              <w:rPr>
                <w:rFonts w:hint="eastAsia" w:ascii="宋体" w:hAnsi="宋体" w:eastAsia="宋体" w:cs="宋体"/>
                <w:i w:val="0"/>
                <w:iCs w:val="0"/>
                <w:color w:val="000000"/>
                <w:kern w:val="0"/>
                <w:sz w:val="21"/>
                <w:szCs w:val="21"/>
                <w:highlight w:val="none"/>
                <w:u w:val="none"/>
                <w:lang w:val="en-US" w:eastAsia="zh-CN" w:bidi="ar"/>
              </w:rPr>
              <w:t>）等</w:t>
            </w:r>
            <w:r>
              <w:rPr>
                <w:rFonts w:hint="default" w:ascii="Times New Roman" w:hAnsi="Times New Roman" w:eastAsia="宋体" w:cs="Times New Roman"/>
                <w:i w:val="0"/>
                <w:iCs w:val="0"/>
                <w:color w:val="000000"/>
                <w:kern w:val="0"/>
                <w:sz w:val="21"/>
                <w:szCs w:val="21"/>
                <w:highlight w:val="none"/>
                <w:u w:val="none"/>
                <w:lang w:val="en-US" w:eastAsia="zh-CN" w:bidi="ar"/>
              </w:rPr>
              <w:t>19项。</w:t>
            </w:r>
          </w:p>
        </w:tc>
      </w:tr>
      <w:tr w14:paraId="39DF4F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2" w:type="dxa"/>
            <w:tcBorders>
              <w:tl2br w:val="nil"/>
              <w:tr2bl w:val="nil"/>
            </w:tcBorders>
            <w:shd w:val="clear" w:color="auto" w:fill="auto"/>
            <w:vAlign w:val="center"/>
          </w:tcPr>
          <w:p w14:paraId="4FBDC7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2364" w:type="dxa"/>
            <w:tcBorders>
              <w:tl2br w:val="nil"/>
              <w:tr2bl w:val="nil"/>
            </w:tcBorders>
            <w:shd w:val="clear" w:color="auto" w:fill="auto"/>
            <w:vAlign w:val="center"/>
          </w:tcPr>
          <w:p w14:paraId="21A915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尿常规</w:t>
            </w:r>
          </w:p>
        </w:tc>
        <w:tc>
          <w:tcPr>
            <w:tcW w:w="4416" w:type="dxa"/>
            <w:tcBorders>
              <w:tl2br w:val="nil"/>
              <w:tr2bl w:val="nil"/>
            </w:tcBorders>
            <w:shd w:val="clear" w:color="auto" w:fill="auto"/>
            <w:vAlign w:val="center"/>
          </w:tcPr>
          <w:p w14:paraId="4E18DA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尿蛋白</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、尿糖</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、尿比重</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、尿酮体</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、尿胆红质</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、尿胆元等</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项</w:t>
            </w:r>
          </w:p>
        </w:tc>
      </w:tr>
      <w:tr w14:paraId="552C60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7E4B77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2364" w:type="dxa"/>
            <w:tcBorders>
              <w:tl2br w:val="nil"/>
              <w:tr2bl w:val="nil"/>
            </w:tcBorders>
            <w:shd w:val="clear" w:color="auto" w:fill="auto"/>
            <w:vAlign w:val="center"/>
          </w:tcPr>
          <w:p w14:paraId="5B2F2D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w:t>
            </w:r>
          </w:p>
        </w:tc>
        <w:tc>
          <w:tcPr>
            <w:tcW w:w="4416" w:type="dxa"/>
            <w:tcBorders>
              <w:tl2br w:val="nil"/>
              <w:tr2bl w:val="nil"/>
            </w:tcBorders>
            <w:shd w:val="clear" w:color="auto" w:fill="auto"/>
            <w:vAlign w:val="center"/>
          </w:tcPr>
          <w:p w14:paraId="0FA1B7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肝胆脾胰双肾，甲状腺彩超</w:t>
            </w:r>
          </w:p>
        </w:tc>
      </w:tr>
      <w:tr w14:paraId="19F722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4057BE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2364" w:type="dxa"/>
            <w:tcBorders>
              <w:tl2br w:val="nil"/>
              <w:tr2bl w:val="nil"/>
            </w:tcBorders>
            <w:shd w:val="clear" w:color="auto" w:fill="auto"/>
            <w:vAlign w:val="center"/>
          </w:tcPr>
          <w:p w14:paraId="127D42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心电图</w:t>
            </w:r>
          </w:p>
        </w:tc>
        <w:tc>
          <w:tcPr>
            <w:tcW w:w="4416" w:type="dxa"/>
            <w:tcBorders>
              <w:tl2br w:val="nil"/>
              <w:tr2bl w:val="nil"/>
            </w:tcBorders>
            <w:shd w:val="clear" w:color="auto" w:fill="auto"/>
            <w:vAlign w:val="center"/>
          </w:tcPr>
          <w:p w14:paraId="2747811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心电图</w:t>
            </w:r>
          </w:p>
        </w:tc>
      </w:tr>
      <w:tr w14:paraId="7CD94FC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00" w:hRule="atLeast"/>
          <w:jc w:val="center"/>
        </w:trPr>
        <w:tc>
          <w:tcPr>
            <w:tcW w:w="972" w:type="dxa"/>
            <w:tcBorders>
              <w:tl2br w:val="nil"/>
              <w:tr2bl w:val="nil"/>
            </w:tcBorders>
            <w:shd w:val="clear" w:color="auto" w:fill="auto"/>
            <w:vAlign w:val="center"/>
          </w:tcPr>
          <w:p w14:paraId="30C54A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2364" w:type="dxa"/>
            <w:vMerge w:val="restart"/>
            <w:tcBorders>
              <w:tl2br w:val="nil"/>
              <w:tr2bl w:val="nil"/>
            </w:tcBorders>
            <w:shd w:val="clear" w:color="auto" w:fill="auto"/>
            <w:vAlign w:val="center"/>
          </w:tcPr>
          <w:p w14:paraId="36C07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放射科拍片</w:t>
            </w:r>
          </w:p>
        </w:tc>
        <w:tc>
          <w:tcPr>
            <w:tcW w:w="4416" w:type="dxa"/>
            <w:tcBorders>
              <w:tl2br w:val="nil"/>
              <w:tr2bl w:val="nil"/>
            </w:tcBorders>
            <w:shd w:val="clear" w:color="auto" w:fill="auto"/>
            <w:vAlign w:val="center"/>
          </w:tcPr>
          <w:p w14:paraId="172DB4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胸部正位片</w:t>
            </w:r>
          </w:p>
        </w:tc>
      </w:tr>
      <w:tr w14:paraId="42CB538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0BBC03D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2364" w:type="dxa"/>
            <w:vMerge w:val="continue"/>
            <w:tcBorders>
              <w:tl2br w:val="nil"/>
              <w:tr2bl w:val="nil"/>
            </w:tcBorders>
            <w:shd w:val="clear" w:color="auto" w:fill="auto"/>
            <w:vAlign w:val="center"/>
          </w:tcPr>
          <w:p w14:paraId="5836DEB9">
            <w:pPr>
              <w:jc w:val="center"/>
              <w:rPr>
                <w:rFonts w:hint="eastAsia" w:asciiTheme="minorEastAsia" w:hAnsiTheme="minorEastAsia" w:eastAsiaTheme="minorEastAsia" w:cstheme="minorEastAsia"/>
                <w:i w:val="0"/>
                <w:iCs w:val="0"/>
                <w:color w:val="000000"/>
                <w:sz w:val="24"/>
                <w:szCs w:val="24"/>
                <w:highlight w:val="none"/>
                <w:u w:val="none"/>
              </w:rPr>
            </w:pPr>
          </w:p>
        </w:tc>
        <w:tc>
          <w:tcPr>
            <w:tcW w:w="4416" w:type="dxa"/>
            <w:tcBorders>
              <w:tl2br w:val="nil"/>
              <w:tr2bl w:val="nil"/>
            </w:tcBorders>
            <w:shd w:val="clear" w:color="auto" w:fill="auto"/>
            <w:vAlign w:val="center"/>
          </w:tcPr>
          <w:p w14:paraId="5F4E9E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颈椎侧位片</w:t>
            </w:r>
          </w:p>
        </w:tc>
      </w:tr>
      <w:tr w14:paraId="42DBAC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3EDBE3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2364" w:type="dxa"/>
            <w:tcBorders>
              <w:tl2br w:val="nil"/>
              <w:tr2bl w:val="nil"/>
            </w:tcBorders>
            <w:shd w:val="clear" w:color="auto" w:fill="auto"/>
            <w:vAlign w:val="center"/>
          </w:tcPr>
          <w:p w14:paraId="7AB7A1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男性员工彩超检查</w:t>
            </w:r>
          </w:p>
        </w:tc>
        <w:tc>
          <w:tcPr>
            <w:tcW w:w="4416" w:type="dxa"/>
            <w:tcBorders>
              <w:tl2br w:val="nil"/>
              <w:tr2bl w:val="nil"/>
            </w:tcBorders>
            <w:shd w:val="clear" w:color="auto" w:fill="auto"/>
            <w:vAlign w:val="center"/>
          </w:tcPr>
          <w:p w14:paraId="0FFFB8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前列腺彩超（彩超机）</w:t>
            </w:r>
          </w:p>
        </w:tc>
      </w:tr>
      <w:tr w14:paraId="4AE8F2C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6FB08D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2364" w:type="dxa"/>
            <w:tcBorders>
              <w:tl2br w:val="nil"/>
              <w:tr2bl w:val="nil"/>
            </w:tcBorders>
            <w:shd w:val="clear" w:color="auto" w:fill="auto"/>
            <w:vAlign w:val="center"/>
          </w:tcPr>
          <w:p w14:paraId="65A610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女性员工彩超检查</w:t>
            </w:r>
          </w:p>
        </w:tc>
        <w:tc>
          <w:tcPr>
            <w:tcW w:w="4416" w:type="dxa"/>
            <w:tcBorders>
              <w:tl2br w:val="nil"/>
              <w:tr2bl w:val="nil"/>
            </w:tcBorders>
            <w:shd w:val="clear" w:color="auto" w:fill="auto"/>
            <w:vAlign w:val="center"/>
          </w:tcPr>
          <w:p w14:paraId="07735ED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彩超检查双侧乳腺（彩超机）</w:t>
            </w:r>
          </w:p>
        </w:tc>
      </w:tr>
      <w:tr w14:paraId="32487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2" w:type="dxa"/>
            <w:tcBorders>
              <w:tl2br w:val="nil"/>
              <w:tr2bl w:val="nil"/>
            </w:tcBorders>
            <w:shd w:val="clear" w:color="auto" w:fill="auto"/>
            <w:vAlign w:val="center"/>
          </w:tcPr>
          <w:p w14:paraId="7B04FE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2364" w:type="dxa"/>
            <w:tcBorders>
              <w:tl2br w:val="nil"/>
              <w:tr2bl w:val="nil"/>
            </w:tcBorders>
            <w:shd w:val="clear" w:color="auto" w:fill="auto"/>
            <w:vAlign w:val="center"/>
          </w:tcPr>
          <w:p w14:paraId="39806C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女性已婚员工彩超检查</w:t>
            </w:r>
          </w:p>
        </w:tc>
        <w:tc>
          <w:tcPr>
            <w:tcW w:w="4416" w:type="dxa"/>
            <w:tcBorders>
              <w:tl2br w:val="nil"/>
              <w:tr2bl w:val="nil"/>
            </w:tcBorders>
            <w:shd w:val="clear" w:color="auto" w:fill="auto"/>
            <w:vAlign w:val="center"/>
          </w:tcPr>
          <w:p w14:paraId="20AF2CF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阴式彩超（阴彩有侵入性，不适合未婚的女士做此项目，未婚做子宫附件彩超）</w:t>
            </w:r>
          </w:p>
        </w:tc>
      </w:tr>
      <w:tr w14:paraId="6EE14D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73FB61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2364" w:type="dxa"/>
            <w:tcBorders>
              <w:tl2br w:val="nil"/>
              <w:tr2bl w:val="nil"/>
            </w:tcBorders>
            <w:shd w:val="clear" w:color="auto" w:fill="auto"/>
            <w:vAlign w:val="center"/>
          </w:tcPr>
          <w:p w14:paraId="13C69D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女性未婚员工彩超检查</w:t>
            </w:r>
          </w:p>
        </w:tc>
        <w:tc>
          <w:tcPr>
            <w:tcW w:w="4416" w:type="dxa"/>
            <w:tcBorders>
              <w:tl2br w:val="nil"/>
              <w:tr2bl w:val="nil"/>
            </w:tcBorders>
            <w:shd w:val="clear" w:color="auto" w:fill="auto"/>
            <w:vAlign w:val="center"/>
          </w:tcPr>
          <w:p w14:paraId="73198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子宫附件彩超</w:t>
            </w:r>
          </w:p>
        </w:tc>
      </w:tr>
      <w:tr w14:paraId="32080A5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25BCA5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2364" w:type="dxa"/>
            <w:tcBorders>
              <w:tl2br w:val="nil"/>
              <w:tr2bl w:val="nil"/>
            </w:tcBorders>
            <w:shd w:val="clear" w:color="auto" w:fill="auto"/>
            <w:vAlign w:val="center"/>
          </w:tcPr>
          <w:p w14:paraId="0330E2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妇科检查</w:t>
            </w:r>
          </w:p>
        </w:tc>
        <w:tc>
          <w:tcPr>
            <w:tcW w:w="4416" w:type="dxa"/>
            <w:tcBorders>
              <w:tl2br w:val="nil"/>
              <w:tr2bl w:val="nil"/>
            </w:tcBorders>
            <w:shd w:val="clear" w:color="auto" w:fill="auto"/>
            <w:vAlign w:val="center"/>
          </w:tcPr>
          <w:p w14:paraId="63B15B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妇检</w:t>
            </w:r>
          </w:p>
        </w:tc>
      </w:tr>
      <w:tr w14:paraId="09EB495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3C4DDD5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2364" w:type="dxa"/>
            <w:tcBorders>
              <w:tl2br w:val="nil"/>
              <w:tr2bl w:val="nil"/>
            </w:tcBorders>
            <w:shd w:val="clear" w:color="auto" w:fill="auto"/>
            <w:vAlign w:val="center"/>
          </w:tcPr>
          <w:p w14:paraId="532F2E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c>
          <w:tcPr>
            <w:tcW w:w="4416" w:type="dxa"/>
            <w:tcBorders>
              <w:tl2br w:val="nil"/>
              <w:tr2bl w:val="nil"/>
            </w:tcBorders>
            <w:shd w:val="clear" w:color="auto" w:fill="auto"/>
            <w:vAlign w:val="center"/>
          </w:tcPr>
          <w:p w14:paraId="685A2A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r>
      <w:tr w14:paraId="537EA5B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2" w:type="dxa"/>
            <w:tcBorders>
              <w:tl2br w:val="nil"/>
              <w:tr2bl w:val="nil"/>
            </w:tcBorders>
            <w:shd w:val="clear" w:color="auto" w:fill="auto"/>
            <w:vAlign w:val="center"/>
          </w:tcPr>
          <w:p w14:paraId="54444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2364" w:type="dxa"/>
            <w:tcBorders>
              <w:tl2br w:val="nil"/>
              <w:tr2bl w:val="nil"/>
            </w:tcBorders>
            <w:shd w:val="clear" w:color="auto" w:fill="auto"/>
            <w:vAlign w:val="center"/>
          </w:tcPr>
          <w:p w14:paraId="06F769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宫颈刮片</w:t>
            </w:r>
          </w:p>
        </w:tc>
        <w:tc>
          <w:tcPr>
            <w:tcW w:w="4416" w:type="dxa"/>
            <w:tcBorders>
              <w:tl2br w:val="nil"/>
              <w:tr2bl w:val="nil"/>
            </w:tcBorders>
            <w:shd w:val="clear" w:color="auto" w:fill="auto"/>
            <w:vAlign w:val="center"/>
          </w:tcPr>
          <w:p w14:paraId="23CA4EC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4"/>
                <w:szCs w:val="24"/>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宫颈疾病检查</w:t>
            </w:r>
          </w:p>
        </w:tc>
      </w:tr>
    </w:tbl>
    <w:p w14:paraId="57C0DC52">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限价不超过</w:t>
      </w:r>
      <w:r>
        <w:rPr>
          <w:rFonts w:hint="eastAsia" w:ascii="仿宋" w:hAnsi="仿宋" w:eastAsia="仿宋" w:cs="仿宋"/>
          <w:bCs/>
          <w:sz w:val="32"/>
          <w:szCs w:val="32"/>
          <w:highlight w:val="none"/>
          <w:lang w:val="en-US" w:eastAsia="zh-CN"/>
        </w:rPr>
        <w:t>500</w:t>
      </w:r>
      <w:r>
        <w:rPr>
          <w:rFonts w:hint="eastAsia" w:ascii="仿宋" w:hAnsi="仿宋" w:eastAsia="仿宋" w:cs="仿宋"/>
          <w:bCs/>
          <w:sz w:val="32"/>
          <w:szCs w:val="32"/>
          <w:highlight w:val="none"/>
        </w:rPr>
        <w:t>元标准套餐应至少包括以下基准项目:</w:t>
      </w:r>
    </w:p>
    <w:tbl>
      <w:tblPr>
        <w:tblStyle w:val="15"/>
        <w:tblW w:w="7672"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975"/>
        <w:gridCol w:w="2160"/>
        <w:gridCol w:w="4537"/>
      </w:tblGrid>
      <w:tr w14:paraId="4AE535B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00" w:hRule="atLeast"/>
          <w:jc w:val="center"/>
        </w:trPr>
        <w:tc>
          <w:tcPr>
            <w:tcW w:w="975" w:type="dxa"/>
            <w:tcBorders>
              <w:tl2br w:val="nil"/>
              <w:tr2bl w:val="nil"/>
            </w:tcBorders>
            <w:shd w:val="clear" w:color="auto" w:fill="auto"/>
            <w:vAlign w:val="center"/>
          </w:tcPr>
          <w:p w14:paraId="7355EBD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2160" w:type="dxa"/>
            <w:tcBorders>
              <w:tl2br w:val="nil"/>
              <w:tr2bl w:val="nil"/>
            </w:tcBorders>
            <w:shd w:val="clear" w:color="auto" w:fill="auto"/>
            <w:vAlign w:val="center"/>
          </w:tcPr>
          <w:p w14:paraId="5CDF4E40">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检查大类</w:t>
            </w:r>
          </w:p>
        </w:tc>
        <w:tc>
          <w:tcPr>
            <w:tcW w:w="4537" w:type="dxa"/>
            <w:tcBorders>
              <w:tl2br w:val="nil"/>
              <w:tr2bl w:val="nil"/>
            </w:tcBorders>
            <w:shd w:val="clear" w:color="auto" w:fill="auto"/>
            <w:vAlign w:val="center"/>
          </w:tcPr>
          <w:p w14:paraId="45C000D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基准项目</w:t>
            </w:r>
          </w:p>
        </w:tc>
      </w:tr>
      <w:tr w14:paraId="3950DD5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430D2C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2160" w:type="dxa"/>
            <w:vMerge w:val="restart"/>
            <w:tcBorders>
              <w:tl2br w:val="nil"/>
              <w:tr2bl w:val="nil"/>
            </w:tcBorders>
            <w:shd w:val="clear" w:color="auto" w:fill="auto"/>
            <w:vAlign w:val="center"/>
          </w:tcPr>
          <w:p w14:paraId="297241B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一般检查</w:t>
            </w:r>
          </w:p>
        </w:tc>
        <w:tc>
          <w:tcPr>
            <w:tcW w:w="4537" w:type="dxa"/>
            <w:tcBorders>
              <w:tl2br w:val="nil"/>
              <w:tr2bl w:val="nil"/>
            </w:tcBorders>
            <w:shd w:val="clear" w:color="auto" w:fill="auto"/>
            <w:vAlign w:val="center"/>
          </w:tcPr>
          <w:p w14:paraId="594490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身高、体重</w:t>
            </w:r>
          </w:p>
        </w:tc>
      </w:tr>
      <w:tr w14:paraId="3E198F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07947C0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2160" w:type="dxa"/>
            <w:vMerge w:val="continue"/>
            <w:tcBorders>
              <w:tl2br w:val="nil"/>
              <w:tr2bl w:val="nil"/>
            </w:tcBorders>
            <w:shd w:val="clear" w:color="auto" w:fill="auto"/>
            <w:vAlign w:val="center"/>
          </w:tcPr>
          <w:p w14:paraId="27CFFE17">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49ABCD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血压</w:t>
            </w:r>
          </w:p>
        </w:tc>
      </w:tr>
      <w:tr w14:paraId="24DEAB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1552C6A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2160" w:type="dxa"/>
            <w:tcBorders>
              <w:tl2br w:val="nil"/>
              <w:tr2bl w:val="nil"/>
            </w:tcBorders>
            <w:shd w:val="clear" w:color="auto" w:fill="auto"/>
            <w:vAlign w:val="center"/>
          </w:tcPr>
          <w:p w14:paraId="5ACA893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c>
          <w:tcPr>
            <w:tcW w:w="4537" w:type="dxa"/>
            <w:tcBorders>
              <w:tl2br w:val="nil"/>
              <w:tr2bl w:val="nil"/>
            </w:tcBorders>
            <w:shd w:val="clear" w:color="auto" w:fill="auto"/>
            <w:vAlign w:val="center"/>
          </w:tcPr>
          <w:p w14:paraId="6C70F5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r>
      <w:tr w14:paraId="11830D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3C4665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2160" w:type="dxa"/>
            <w:tcBorders>
              <w:tl2br w:val="nil"/>
              <w:tr2bl w:val="nil"/>
            </w:tcBorders>
            <w:shd w:val="clear" w:color="auto" w:fill="auto"/>
            <w:vAlign w:val="center"/>
          </w:tcPr>
          <w:p w14:paraId="0130FC3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c>
          <w:tcPr>
            <w:tcW w:w="4537" w:type="dxa"/>
            <w:tcBorders>
              <w:tl2br w:val="nil"/>
              <w:tr2bl w:val="nil"/>
            </w:tcBorders>
            <w:shd w:val="clear" w:color="auto" w:fill="auto"/>
            <w:vAlign w:val="center"/>
          </w:tcPr>
          <w:p w14:paraId="4CC8CC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r>
      <w:tr w14:paraId="13AF3C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5927FC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2160" w:type="dxa"/>
            <w:tcBorders>
              <w:tl2br w:val="nil"/>
              <w:tr2bl w:val="nil"/>
            </w:tcBorders>
            <w:shd w:val="clear" w:color="auto" w:fill="auto"/>
            <w:vAlign w:val="center"/>
          </w:tcPr>
          <w:p w14:paraId="43AC19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c>
          <w:tcPr>
            <w:tcW w:w="4537" w:type="dxa"/>
            <w:tcBorders>
              <w:tl2br w:val="nil"/>
              <w:tr2bl w:val="nil"/>
            </w:tcBorders>
            <w:shd w:val="clear" w:color="auto" w:fill="auto"/>
            <w:vAlign w:val="center"/>
          </w:tcPr>
          <w:p w14:paraId="0F3EF3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r>
      <w:tr w14:paraId="5B66CD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4D62F7F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2160" w:type="dxa"/>
            <w:tcBorders>
              <w:tl2br w:val="nil"/>
              <w:tr2bl w:val="nil"/>
            </w:tcBorders>
            <w:shd w:val="clear" w:color="auto" w:fill="auto"/>
            <w:vAlign w:val="center"/>
          </w:tcPr>
          <w:p w14:paraId="006528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c>
          <w:tcPr>
            <w:tcW w:w="4537" w:type="dxa"/>
            <w:tcBorders>
              <w:tl2br w:val="nil"/>
              <w:tr2bl w:val="nil"/>
            </w:tcBorders>
            <w:shd w:val="clear" w:color="auto" w:fill="auto"/>
            <w:vAlign w:val="center"/>
          </w:tcPr>
          <w:p w14:paraId="1F5E461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r>
      <w:tr w14:paraId="5C0654E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60ED56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2160" w:type="dxa"/>
            <w:tcBorders>
              <w:tl2br w:val="nil"/>
              <w:tr2bl w:val="nil"/>
            </w:tcBorders>
            <w:shd w:val="clear" w:color="auto" w:fill="auto"/>
            <w:vAlign w:val="center"/>
          </w:tcPr>
          <w:p w14:paraId="686AA03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口腔科</w:t>
            </w:r>
          </w:p>
        </w:tc>
        <w:tc>
          <w:tcPr>
            <w:tcW w:w="4537" w:type="dxa"/>
            <w:tcBorders>
              <w:tl2br w:val="nil"/>
              <w:tr2bl w:val="nil"/>
            </w:tcBorders>
            <w:shd w:val="clear" w:color="auto" w:fill="auto"/>
            <w:vAlign w:val="center"/>
          </w:tcPr>
          <w:p w14:paraId="09BFE0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口腔常规检查，全面了解口腔健康状况，及时发现口腔科常见疾病。</w:t>
            </w:r>
          </w:p>
        </w:tc>
      </w:tr>
      <w:tr w14:paraId="7E3AD1E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117895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2160" w:type="dxa"/>
            <w:vMerge w:val="restart"/>
            <w:tcBorders>
              <w:tl2br w:val="nil"/>
              <w:tr2bl w:val="nil"/>
            </w:tcBorders>
            <w:shd w:val="clear" w:color="auto" w:fill="auto"/>
            <w:vAlign w:val="center"/>
          </w:tcPr>
          <w:p w14:paraId="7E8179F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肝功能七项</w:t>
            </w:r>
          </w:p>
        </w:tc>
        <w:tc>
          <w:tcPr>
            <w:tcW w:w="4537" w:type="dxa"/>
            <w:tcBorders>
              <w:tl2br w:val="nil"/>
              <w:tr2bl w:val="nil"/>
            </w:tcBorders>
            <w:shd w:val="clear" w:color="auto" w:fill="auto"/>
            <w:vAlign w:val="center"/>
          </w:tcPr>
          <w:p w14:paraId="745B3E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丙氨酸氨基转移酶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(ALT) \ </w:t>
            </w:r>
            <w:r>
              <w:rPr>
                <w:rFonts w:hint="eastAsia" w:ascii="宋体" w:hAnsi="宋体" w:eastAsia="宋体" w:cs="宋体"/>
                <w:i w:val="0"/>
                <w:iCs w:val="0"/>
                <w:color w:val="000000"/>
                <w:kern w:val="0"/>
                <w:sz w:val="21"/>
                <w:szCs w:val="21"/>
                <w:highlight w:val="none"/>
                <w:u w:val="none"/>
                <w:lang w:val="en-US" w:eastAsia="zh-CN" w:bidi="ar"/>
              </w:rPr>
              <w:t>天门冬氨酸氨基转移酶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(AST) \ </w:t>
            </w:r>
            <w:r>
              <w:rPr>
                <w:rFonts w:hint="eastAsia" w:ascii="宋体" w:hAnsi="宋体" w:eastAsia="宋体" w:cs="宋体"/>
                <w:i w:val="0"/>
                <w:iCs w:val="0"/>
                <w:color w:val="000000"/>
                <w:kern w:val="0"/>
                <w:sz w:val="21"/>
                <w:szCs w:val="21"/>
                <w:highlight w:val="none"/>
                <w:u w:val="none"/>
                <w:lang w:val="en-US" w:eastAsia="zh-CN" w:bidi="ar"/>
              </w:rPr>
              <w:t>谷氨酰转肽酶</w:t>
            </w:r>
            <w:r>
              <w:rPr>
                <w:rFonts w:hint="default" w:ascii="Times New Roman" w:hAnsi="Times New Roman" w:eastAsia="宋体" w:cs="Times New Roman"/>
                <w:i w:val="0"/>
                <w:iCs w:val="0"/>
                <w:color w:val="000000"/>
                <w:kern w:val="0"/>
                <w:sz w:val="21"/>
                <w:szCs w:val="21"/>
                <w:highlight w:val="none"/>
                <w:u w:val="none"/>
                <w:lang w:val="en-US" w:eastAsia="zh-CN" w:bidi="ar"/>
              </w:rPr>
              <w:t>(GGT)</w:t>
            </w:r>
          </w:p>
        </w:tc>
      </w:tr>
      <w:tr w14:paraId="4CE20EE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6B9686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2160" w:type="dxa"/>
            <w:vMerge w:val="continue"/>
            <w:tcBorders>
              <w:tl2br w:val="nil"/>
              <w:tr2bl w:val="nil"/>
            </w:tcBorders>
            <w:shd w:val="clear" w:color="auto" w:fill="auto"/>
            <w:vAlign w:val="center"/>
          </w:tcPr>
          <w:p w14:paraId="51204855">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38C49F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血清蛋白四项</w:t>
            </w:r>
          </w:p>
        </w:tc>
      </w:tr>
      <w:tr w14:paraId="5454AD3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66CDE1F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2160" w:type="dxa"/>
            <w:tcBorders>
              <w:tl2br w:val="nil"/>
              <w:tr2bl w:val="nil"/>
            </w:tcBorders>
            <w:shd w:val="clear" w:color="auto" w:fill="auto"/>
            <w:vAlign w:val="center"/>
          </w:tcPr>
          <w:p w14:paraId="43BDB3B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肾功能三项</w:t>
            </w:r>
          </w:p>
        </w:tc>
        <w:tc>
          <w:tcPr>
            <w:tcW w:w="4537" w:type="dxa"/>
            <w:tcBorders>
              <w:tl2br w:val="nil"/>
              <w:tr2bl w:val="nil"/>
            </w:tcBorders>
            <w:shd w:val="clear" w:color="auto" w:fill="auto"/>
            <w:vAlign w:val="center"/>
          </w:tcPr>
          <w:p w14:paraId="67BE2AD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尿素氮</w:t>
            </w:r>
            <w:r>
              <w:rPr>
                <w:rFonts w:hint="default" w:ascii="Times New Roman" w:hAnsi="Times New Roman" w:eastAsia="宋体" w:cs="Times New Roman"/>
                <w:i w:val="0"/>
                <w:iCs w:val="0"/>
                <w:color w:val="000000"/>
                <w:kern w:val="0"/>
                <w:sz w:val="21"/>
                <w:szCs w:val="21"/>
                <w:highlight w:val="none"/>
                <w:u w:val="none"/>
                <w:lang w:val="en-US" w:eastAsia="zh-CN" w:bidi="ar"/>
              </w:rPr>
              <w:t>(BUN)</w:t>
            </w:r>
            <w:r>
              <w:rPr>
                <w:rFonts w:hint="eastAsia" w:ascii="宋体" w:hAnsi="宋体" w:eastAsia="宋体" w:cs="宋体"/>
                <w:i w:val="0"/>
                <w:iCs w:val="0"/>
                <w:color w:val="000000"/>
                <w:kern w:val="0"/>
                <w:sz w:val="21"/>
                <w:szCs w:val="21"/>
                <w:highlight w:val="none"/>
                <w:u w:val="none"/>
                <w:lang w:val="en-US" w:eastAsia="zh-CN" w:bidi="ar"/>
              </w:rPr>
              <w:t>、肌肝</w:t>
            </w:r>
            <w:r>
              <w:rPr>
                <w:rFonts w:hint="default" w:ascii="Times New Roman" w:hAnsi="Times New Roman" w:eastAsia="宋体" w:cs="Times New Roman"/>
                <w:i w:val="0"/>
                <w:iCs w:val="0"/>
                <w:color w:val="000000"/>
                <w:kern w:val="0"/>
                <w:sz w:val="21"/>
                <w:szCs w:val="21"/>
                <w:highlight w:val="none"/>
                <w:u w:val="none"/>
                <w:lang w:val="en-US" w:eastAsia="zh-CN" w:bidi="ar"/>
              </w:rPr>
              <w:t>(CR)</w:t>
            </w:r>
            <w:r>
              <w:rPr>
                <w:rFonts w:hint="eastAsia" w:ascii="宋体" w:hAnsi="宋体" w:eastAsia="宋体" w:cs="宋体"/>
                <w:i w:val="0"/>
                <w:iCs w:val="0"/>
                <w:color w:val="000000"/>
                <w:kern w:val="0"/>
                <w:sz w:val="21"/>
                <w:szCs w:val="21"/>
                <w:highlight w:val="none"/>
                <w:u w:val="none"/>
                <w:lang w:val="en-US" w:eastAsia="zh-CN" w:bidi="ar"/>
              </w:rPr>
              <w:t>、尿酸</w:t>
            </w:r>
          </w:p>
        </w:tc>
      </w:tr>
      <w:tr w14:paraId="69277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2AB353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2160" w:type="dxa"/>
            <w:tcBorders>
              <w:tl2br w:val="nil"/>
              <w:tr2bl w:val="nil"/>
            </w:tcBorders>
            <w:shd w:val="clear" w:color="auto" w:fill="auto"/>
            <w:vAlign w:val="center"/>
          </w:tcPr>
          <w:p w14:paraId="189332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血脂四项</w:t>
            </w:r>
          </w:p>
        </w:tc>
        <w:tc>
          <w:tcPr>
            <w:tcW w:w="4537" w:type="dxa"/>
            <w:tcBorders>
              <w:tl2br w:val="nil"/>
              <w:tr2bl w:val="nil"/>
            </w:tcBorders>
            <w:shd w:val="clear" w:color="auto" w:fill="auto"/>
            <w:vAlign w:val="center"/>
          </w:tcPr>
          <w:p w14:paraId="6664AE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总胆固醇、甘油三脂、低密度脂蛋白胆固醇、高密度脂蛋白胆固醇</w:t>
            </w:r>
          </w:p>
        </w:tc>
      </w:tr>
      <w:tr w14:paraId="1FEFF1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72204C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2160" w:type="dxa"/>
            <w:tcBorders>
              <w:tl2br w:val="nil"/>
              <w:tr2bl w:val="nil"/>
            </w:tcBorders>
            <w:shd w:val="clear" w:color="auto" w:fill="auto"/>
            <w:vAlign w:val="center"/>
          </w:tcPr>
          <w:p w14:paraId="010031B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c>
          <w:tcPr>
            <w:tcW w:w="4537" w:type="dxa"/>
            <w:tcBorders>
              <w:tl2br w:val="nil"/>
              <w:tr2bl w:val="nil"/>
            </w:tcBorders>
            <w:shd w:val="clear" w:color="auto" w:fill="auto"/>
            <w:vAlign w:val="center"/>
          </w:tcPr>
          <w:p w14:paraId="0641DC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r>
      <w:tr w14:paraId="2A636CB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575AF8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2160" w:type="dxa"/>
            <w:tcBorders>
              <w:tl2br w:val="nil"/>
              <w:tr2bl w:val="nil"/>
            </w:tcBorders>
            <w:shd w:val="clear" w:color="auto" w:fill="auto"/>
            <w:vAlign w:val="center"/>
          </w:tcPr>
          <w:p w14:paraId="11BFEDF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血糖</w:t>
            </w:r>
          </w:p>
        </w:tc>
        <w:tc>
          <w:tcPr>
            <w:tcW w:w="4537" w:type="dxa"/>
            <w:tcBorders>
              <w:tl2br w:val="nil"/>
              <w:tr2bl w:val="nil"/>
            </w:tcBorders>
            <w:shd w:val="clear" w:color="auto" w:fill="auto"/>
            <w:vAlign w:val="center"/>
          </w:tcPr>
          <w:p w14:paraId="1A49F3A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空腹血糖</w:t>
            </w:r>
          </w:p>
        </w:tc>
      </w:tr>
      <w:tr w14:paraId="2D27AD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312" w:hRule="atLeast"/>
          <w:jc w:val="center"/>
        </w:trPr>
        <w:tc>
          <w:tcPr>
            <w:tcW w:w="975" w:type="dxa"/>
            <w:tcBorders>
              <w:tl2br w:val="nil"/>
              <w:tr2bl w:val="nil"/>
            </w:tcBorders>
            <w:shd w:val="clear" w:color="auto" w:fill="auto"/>
            <w:vAlign w:val="center"/>
          </w:tcPr>
          <w:p w14:paraId="02573D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2160" w:type="dxa"/>
            <w:tcBorders>
              <w:tl2br w:val="nil"/>
              <w:tr2bl w:val="nil"/>
            </w:tcBorders>
            <w:shd w:val="clear" w:color="auto" w:fill="auto"/>
            <w:vAlign w:val="center"/>
          </w:tcPr>
          <w:p w14:paraId="624E218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定性糖尿病</w:t>
            </w:r>
          </w:p>
        </w:tc>
        <w:tc>
          <w:tcPr>
            <w:tcW w:w="4537" w:type="dxa"/>
            <w:tcBorders>
              <w:tl2br w:val="nil"/>
              <w:tr2bl w:val="nil"/>
            </w:tcBorders>
            <w:shd w:val="clear" w:color="auto" w:fill="auto"/>
            <w:vAlign w:val="center"/>
          </w:tcPr>
          <w:p w14:paraId="28A5A5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糖化血红蛋白(HbA1C)</w:t>
            </w:r>
          </w:p>
        </w:tc>
      </w:tr>
      <w:tr w14:paraId="6C5237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610AA9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2160" w:type="dxa"/>
            <w:vMerge w:val="restart"/>
            <w:tcBorders>
              <w:tl2br w:val="nil"/>
              <w:tr2bl w:val="nil"/>
            </w:tcBorders>
            <w:shd w:val="clear" w:color="auto" w:fill="auto"/>
            <w:vAlign w:val="center"/>
          </w:tcPr>
          <w:p w14:paraId="7D5C690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肿瘤筛查七项</w:t>
            </w:r>
          </w:p>
        </w:tc>
        <w:tc>
          <w:tcPr>
            <w:tcW w:w="4537" w:type="dxa"/>
            <w:tcBorders>
              <w:tl2br w:val="nil"/>
              <w:tr2bl w:val="nil"/>
            </w:tcBorders>
            <w:shd w:val="clear" w:color="auto" w:fill="auto"/>
            <w:vAlign w:val="center"/>
          </w:tcPr>
          <w:p w14:paraId="4E3E2ED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癌胚抗原</w:t>
            </w:r>
            <w:r>
              <w:rPr>
                <w:rFonts w:hint="default" w:ascii="Times New Roman" w:hAnsi="Times New Roman" w:eastAsia="宋体" w:cs="Times New Roman"/>
                <w:i w:val="0"/>
                <w:iCs w:val="0"/>
                <w:color w:val="000000"/>
                <w:kern w:val="0"/>
                <w:sz w:val="21"/>
                <w:szCs w:val="21"/>
                <w:highlight w:val="none"/>
                <w:u w:val="none"/>
                <w:lang w:val="en-US" w:eastAsia="zh-CN" w:bidi="ar"/>
              </w:rPr>
              <w:t>CEA(</w:t>
            </w:r>
            <w:r>
              <w:rPr>
                <w:rFonts w:hint="eastAsia" w:ascii="宋体" w:hAnsi="宋体" w:eastAsia="宋体" w:cs="宋体"/>
                <w:i w:val="0"/>
                <w:iCs w:val="0"/>
                <w:color w:val="000000"/>
                <w:kern w:val="0"/>
                <w:sz w:val="21"/>
                <w:szCs w:val="21"/>
                <w:highlight w:val="none"/>
                <w:u w:val="none"/>
                <w:lang w:val="en-US" w:eastAsia="zh-CN" w:bidi="ar"/>
              </w:rPr>
              <w:t>定量</w:t>
            </w:r>
            <w:r>
              <w:rPr>
                <w:rFonts w:hint="default" w:ascii="Times New Roman" w:hAnsi="Times New Roman" w:eastAsia="宋体" w:cs="Times New Roman"/>
                <w:i w:val="0"/>
                <w:iCs w:val="0"/>
                <w:color w:val="000000"/>
                <w:kern w:val="0"/>
                <w:sz w:val="21"/>
                <w:szCs w:val="21"/>
                <w:highlight w:val="none"/>
                <w:u w:val="none"/>
                <w:lang w:val="en-US" w:eastAsia="zh-CN" w:bidi="ar"/>
              </w:rPr>
              <w:t>)</w:t>
            </w:r>
          </w:p>
        </w:tc>
      </w:tr>
      <w:tr w14:paraId="260638E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40F57D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2160" w:type="dxa"/>
            <w:vMerge w:val="continue"/>
            <w:tcBorders>
              <w:tl2br w:val="nil"/>
              <w:tr2bl w:val="nil"/>
            </w:tcBorders>
            <w:shd w:val="clear" w:color="auto" w:fill="auto"/>
            <w:vAlign w:val="center"/>
          </w:tcPr>
          <w:p w14:paraId="67DFE008">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4D023C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甲胎蛋白</w:t>
            </w:r>
            <w:r>
              <w:rPr>
                <w:rFonts w:hint="default" w:ascii="Times New Roman" w:hAnsi="Times New Roman" w:eastAsia="宋体" w:cs="Times New Roman"/>
                <w:i w:val="0"/>
                <w:iCs w:val="0"/>
                <w:color w:val="000000"/>
                <w:kern w:val="0"/>
                <w:sz w:val="21"/>
                <w:szCs w:val="21"/>
                <w:highlight w:val="none"/>
                <w:u w:val="none"/>
                <w:lang w:val="en-US" w:eastAsia="zh-CN" w:bidi="ar"/>
              </w:rPr>
              <w:t>AFP</w:t>
            </w:r>
            <w:r>
              <w:rPr>
                <w:rFonts w:hint="eastAsia" w:ascii="宋体" w:hAnsi="宋体" w:eastAsia="宋体" w:cs="宋体"/>
                <w:i w:val="0"/>
                <w:iCs w:val="0"/>
                <w:color w:val="000000"/>
                <w:kern w:val="0"/>
                <w:sz w:val="21"/>
                <w:szCs w:val="21"/>
                <w:highlight w:val="none"/>
                <w:u w:val="none"/>
                <w:lang w:val="en-US" w:eastAsia="zh-CN" w:bidi="ar"/>
              </w:rPr>
              <w:t>（定量）</w:t>
            </w:r>
          </w:p>
        </w:tc>
      </w:tr>
      <w:tr w14:paraId="261B66E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68D554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2160" w:type="dxa"/>
            <w:vMerge w:val="continue"/>
            <w:tcBorders>
              <w:tl2br w:val="nil"/>
              <w:tr2bl w:val="nil"/>
            </w:tcBorders>
            <w:shd w:val="clear" w:color="auto" w:fill="auto"/>
            <w:vAlign w:val="center"/>
          </w:tcPr>
          <w:p w14:paraId="79C84997">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06D4CB4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242</w:t>
            </w:r>
          </w:p>
        </w:tc>
      </w:tr>
      <w:tr w14:paraId="522D3AC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0ACAD48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2160" w:type="dxa"/>
            <w:vMerge w:val="continue"/>
            <w:tcBorders>
              <w:tl2br w:val="nil"/>
              <w:tr2bl w:val="nil"/>
            </w:tcBorders>
            <w:shd w:val="clear" w:color="auto" w:fill="auto"/>
            <w:vAlign w:val="center"/>
          </w:tcPr>
          <w:p w14:paraId="4B2106EB">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72BC43D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125</w:t>
            </w:r>
          </w:p>
        </w:tc>
      </w:tr>
      <w:tr w14:paraId="62B40F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258BE0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2160" w:type="dxa"/>
            <w:vMerge w:val="continue"/>
            <w:tcBorders>
              <w:tl2br w:val="nil"/>
              <w:tr2bl w:val="nil"/>
            </w:tcBorders>
            <w:shd w:val="clear" w:color="auto" w:fill="auto"/>
            <w:vAlign w:val="center"/>
          </w:tcPr>
          <w:p w14:paraId="38E49604">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145C0D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神经元特异性烯醇化酶</w:t>
            </w:r>
          </w:p>
        </w:tc>
      </w:tr>
      <w:tr w14:paraId="4F6B7A8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6B4297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2160" w:type="dxa"/>
            <w:vMerge w:val="continue"/>
            <w:tcBorders>
              <w:tl2br w:val="nil"/>
              <w:tr2bl w:val="nil"/>
            </w:tcBorders>
            <w:shd w:val="clear" w:color="auto" w:fill="auto"/>
            <w:vAlign w:val="center"/>
          </w:tcPr>
          <w:p w14:paraId="270222D1">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609FD7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人绒毛膜促性腺激素游离</w:t>
            </w:r>
            <w:r>
              <w:rPr>
                <w:rFonts w:hint="default" w:ascii="Times New Roman" w:hAnsi="Times New Roman" w:eastAsia="宋体" w:cs="Times New Roman"/>
                <w:i w:val="0"/>
                <w:iCs w:val="0"/>
                <w:color w:val="000000"/>
                <w:kern w:val="0"/>
                <w:sz w:val="21"/>
                <w:szCs w:val="21"/>
                <w:highlight w:val="none"/>
                <w:u w:val="none"/>
                <w:lang w:val="en-US" w:eastAsia="zh-CN" w:bidi="ar"/>
              </w:rPr>
              <w:t>β</w:t>
            </w:r>
            <w:r>
              <w:rPr>
                <w:rFonts w:hint="eastAsia" w:ascii="宋体" w:hAnsi="宋体" w:eastAsia="宋体" w:cs="宋体"/>
                <w:i w:val="0"/>
                <w:iCs w:val="0"/>
                <w:color w:val="000000"/>
                <w:kern w:val="0"/>
                <w:sz w:val="21"/>
                <w:szCs w:val="21"/>
                <w:highlight w:val="none"/>
                <w:u w:val="none"/>
                <w:lang w:val="en-US" w:eastAsia="zh-CN" w:bidi="ar"/>
              </w:rPr>
              <w:t>亚基</w:t>
            </w:r>
          </w:p>
        </w:tc>
      </w:tr>
      <w:tr w14:paraId="11FC609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3EB3CC9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2160" w:type="dxa"/>
            <w:vMerge w:val="continue"/>
            <w:tcBorders>
              <w:tl2br w:val="nil"/>
              <w:tr2bl w:val="nil"/>
            </w:tcBorders>
            <w:shd w:val="clear" w:color="auto" w:fill="auto"/>
            <w:vAlign w:val="center"/>
          </w:tcPr>
          <w:p w14:paraId="1198AC5A">
            <w:pPr>
              <w:jc w:val="center"/>
              <w:rPr>
                <w:rFonts w:hint="eastAsia" w:ascii="宋体" w:hAnsi="宋体" w:eastAsia="宋体" w:cs="宋体"/>
                <w:i w:val="0"/>
                <w:iCs w:val="0"/>
                <w:color w:val="000000"/>
                <w:sz w:val="21"/>
                <w:szCs w:val="21"/>
                <w:highlight w:val="none"/>
                <w:u w:val="none"/>
              </w:rPr>
            </w:pPr>
          </w:p>
        </w:tc>
        <w:tc>
          <w:tcPr>
            <w:tcW w:w="4537" w:type="dxa"/>
            <w:tcBorders>
              <w:tl2br w:val="nil"/>
              <w:tr2bl w:val="nil"/>
            </w:tcBorders>
            <w:shd w:val="clear" w:color="auto" w:fill="auto"/>
            <w:vAlign w:val="center"/>
          </w:tcPr>
          <w:p w14:paraId="69F0FE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细胞角蛋白</w:t>
            </w:r>
          </w:p>
        </w:tc>
      </w:tr>
      <w:tr w14:paraId="3E6BE1B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0F0692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2160" w:type="dxa"/>
            <w:tcBorders>
              <w:tl2br w:val="nil"/>
              <w:tr2bl w:val="nil"/>
            </w:tcBorders>
            <w:shd w:val="clear" w:color="auto" w:fill="auto"/>
            <w:vAlign w:val="center"/>
          </w:tcPr>
          <w:p w14:paraId="65A5D68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血常规</w:t>
            </w:r>
          </w:p>
        </w:tc>
        <w:tc>
          <w:tcPr>
            <w:tcW w:w="4537" w:type="dxa"/>
            <w:tcBorders>
              <w:tl2br w:val="nil"/>
              <w:tr2bl w:val="nil"/>
            </w:tcBorders>
            <w:shd w:val="clear" w:color="auto" w:fill="auto"/>
            <w:vAlign w:val="center"/>
          </w:tcPr>
          <w:p w14:paraId="12260B1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红细胞计数</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RBC</w:t>
            </w:r>
            <w:r>
              <w:rPr>
                <w:rFonts w:hint="eastAsia" w:ascii="宋体" w:hAnsi="宋体" w:eastAsia="宋体" w:cs="宋体"/>
                <w:i w:val="0"/>
                <w:iCs w:val="0"/>
                <w:color w:val="000000"/>
                <w:kern w:val="0"/>
                <w:sz w:val="21"/>
                <w:szCs w:val="21"/>
                <w:highlight w:val="none"/>
                <w:u w:val="none"/>
                <w:lang w:val="en-US" w:eastAsia="zh-CN" w:bidi="ar"/>
              </w:rPr>
              <w:t>）、红细胞压积（</w:t>
            </w:r>
            <w:r>
              <w:rPr>
                <w:rFonts w:hint="default" w:ascii="Times New Roman" w:hAnsi="Times New Roman" w:eastAsia="宋体" w:cs="Times New Roman"/>
                <w:i w:val="0"/>
                <w:iCs w:val="0"/>
                <w:color w:val="000000"/>
                <w:kern w:val="0"/>
                <w:sz w:val="21"/>
                <w:szCs w:val="21"/>
                <w:highlight w:val="none"/>
                <w:u w:val="none"/>
                <w:lang w:val="en-US" w:eastAsia="zh-CN" w:bidi="ar"/>
              </w:rPr>
              <w:t>HCT</w:t>
            </w:r>
            <w:r>
              <w:rPr>
                <w:rFonts w:hint="eastAsia" w:ascii="宋体" w:hAnsi="宋体" w:eastAsia="宋体" w:cs="宋体"/>
                <w:i w:val="0"/>
                <w:iCs w:val="0"/>
                <w:color w:val="000000"/>
                <w:kern w:val="0"/>
                <w:sz w:val="21"/>
                <w:szCs w:val="21"/>
                <w:highlight w:val="none"/>
                <w:u w:val="none"/>
                <w:lang w:val="en-US" w:eastAsia="zh-CN" w:bidi="ar"/>
              </w:rPr>
              <w:t>）、平均血红蛋白浓度（</w:t>
            </w:r>
            <w:r>
              <w:rPr>
                <w:rFonts w:hint="default" w:ascii="Times New Roman" w:hAnsi="Times New Roman" w:eastAsia="宋体" w:cs="Times New Roman"/>
                <w:i w:val="0"/>
                <w:iCs w:val="0"/>
                <w:color w:val="000000"/>
                <w:kern w:val="0"/>
                <w:sz w:val="21"/>
                <w:szCs w:val="21"/>
                <w:highlight w:val="none"/>
                <w:u w:val="none"/>
                <w:lang w:val="en-US" w:eastAsia="zh-CN" w:bidi="ar"/>
              </w:rPr>
              <w:t>MCHC</w:t>
            </w:r>
            <w:r>
              <w:rPr>
                <w:rFonts w:hint="eastAsia" w:ascii="宋体" w:hAnsi="宋体" w:eastAsia="宋体" w:cs="宋体"/>
                <w:i w:val="0"/>
                <w:iCs w:val="0"/>
                <w:color w:val="000000"/>
                <w:kern w:val="0"/>
                <w:sz w:val="21"/>
                <w:szCs w:val="21"/>
                <w:highlight w:val="none"/>
                <w:u w:val="none"/>
                <w:lang w:val="en-US" w:eastAsia="zh-CN" w:bidi="ar"/>
              </w:rPr>
              <w:t>）等</w:t>
            </w:r>
            <w:r>
              <w:rPr>
                <w:rFonts w:hint="default" w:ascii="Times New Roman" w:hAnsi="Times New Roman" w:eastAsia="宋体" w:cs="Times New Roman"/>
                <w:i w:val="0"/>
                <w:iCs w:val="0"/>
                <w:color w:val="000000"/>
                <w:kern w:val="0"/>
                <w:sz w:val="21"/>
                <w:szCs w:val="21"/>
                <w:highlight w:val="none"/>
                <w:u w:val="none"/>
                <w:lang w:val="en-US" w:eastAsia="zh-CN" w:bidi="ar"/>
              </w:rPr>
              <w:t>19</w:t>
            </w:r>
            <w:r>
              <w:rPr>
                <w:rFonts w:hint="eastAsia" w:ascii="宋体" w:hAnsi="宋体" w:eastAsia="宋体" w:cs="宋体"/>
                <w:i w:val="0"/>
                <w:iCs w:val="0"/>
                <w:color w:val="000000"/>
                <w:kern w:val="0"/>
                <w:sz w:val="21"/>
                <w:szCs w:val="21"/>
                <w:highlight w:val="none"/>
                <w:u w:val="none"/>
                <w:lang w:val="en-US" w:eastAsia="zh-CN" w:bidi="ar"/>
              </w:rPr>
              <w:t>项。</w:t>
            </w:r>
          </w:p>
        </w:tc>
      </w:tr>
      <w:tr w14:paraId="7331AA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1AA281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2160" w:type="dxa"/>
            <w:tcBorders>
              <w:tl2br w:val="nil"/>
              <w:tr2bl w:val="nil"/>
            </w:tcBorders>
            <w:shd w:val="clear" w:color="auto" w:fill="auto"/>
            <w:vAlign w:val="center"/>
          </w:tcPr>
          <w:p w14:paraId="674140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尿常规</w:t>
            </w:r>
          </w:p>
        </w:tc>
        <w:tc>
          <w:tcPr>
            <w:tcW w:w="4537" w:type="dxa"/>
            <w:tcBorders>
              <w:tl2br w:val="nil"/>
              <w:tr2bl w:val="nil"/>
            </w:tcBorders>
            <w:shd w:val="clear" w:color="auto" w:fill="auto"/>
            <w:vAlign w:val="center"/>
          </w:tcPr>
          <w:p w14:paraId="7B60C5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尿蛋白</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、尿糖</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、尿比重</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、尿酮体</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、尿胆红质</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、尿胆元等</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项</w:t>
            </w:r>
          </w:p>
        </w:tc>
      </w:tr>
      <w:tr w14:paraId="6D0C8D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1F109C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2160" w:type="dxa"/>
            <w:tcBorders>
              <w:tl2br w:val="nil"/>
              <w:tr2bl w:val="nil"/>
            </w:tcBorders>
            <w:shd w:val="clear" w:color="auto" w:fill="auto"/>
            <w:vAlign w:val="center"/>
          </w:tcPr>
          <w:p w14:paraId="72A66CE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w:t>
            </w:r>
          </w:p>
        </w:tc>
        <w:tc>
          <w:tcPr>
            <w:tcW w:w="4537" w:type="dxa"/>
            <w:tcBorders>
              <w:tl2br w:val="nil"/>
              <w:tr2bl w:val="nil"/>
            </w:tcBorders>
            <w:shd w:val="clear" w:color="auto" w:fill="auto"/>
            <w:vAlign w:val="center"/>
          </w:tcPr>
          <w:p w14:paraId="4B6EC89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肝胆脾胰双肾，甲状腺彩超</w:t>
            </w:r>
          </w:p>
        </w:tc>
      </w:tr>
      <w:tr w14:paraId="20844F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jc w:val="center"/>
        </w:trPr>
        <w:tc>
          <w:tcPr>
            <w:tcW w:w="975" w:type="dxa"/>
            <w:tcBorders>
              <w:tl2br w:val="nil"/>
              <w:tr2bl w:val="nil"/>
            </w:tcBorders>
            <w:shd w:val="clear" w:color="auto" w:fill="auto"/>
            <w:vAlign w:val="center"/>
          </w:tcPr>
          <w:p w14:paraId="1E5DC8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2160" w:type="dxa"/>
            <w:tcBorders>
              <w:tl2br w:val="nil"/>
              <w:tr2bl w:val="nil"/>
            </w:tcBorders>
            <w:shd w:val="clear" w:color="auto" w:fill="auto"/>
            <w:vAlign w:val="center"/>
          </w:tcPr>
          <w:p w14:paraId="65B048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智能心贴动态监测（半小时）</w:t>
            </w:r>
          </w:p>
        </w:tc>
        <w:tc>
          <w:tcPr>
            <w:tcW w:w="4537" w:type="dxa"/>
            <w:tcBorders>
              <w:tl2br w:val="nil"/>
              <w:tr2bl w:val="nil"/>
            </w:tcBorders>
            <w:shd w:val="clear" w:color="auto" w:fill="auto"/>
            <w:vAlign w:val="center"/>
          </w:tcPr>
          <w:p w14:paraId="58A45A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诊断偶发性、隐匿性的及部分容易导致猝死的恶性心率异常</w:t>
            </w:r>
          </w:p>
        </w:tc>
      </w:tr>
      <w:tr w14:paraId="131460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2D54B58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2160" w:type="dxa"/>
            <w:tcBorders>
              <w:tl2br w:val="nil"/>
              <w:tr2bl w:val="nil"/>
            </w:tcBorders>
            <w:shd w:val="clear" w:color="auto" w:fill="auto"/>
            <w:vAlign w:val="center"/>
          </w:tcPr>
          <w:p w14:paraId="52BB60F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超敏c-反应蛋白</w:t>
            </w:r>
          </w:p>
        </w:tc>
        <w:tc>
          <w:tcPr>
            <w:tcW w:w="4537" w:type="dxa"/>
            <w:tcBorders>
              <w:tl2br w:val="nil"/>
              <w:tr2bl w:val="nil"/>
            </w:tcBorders>
            <w:shd w:val="clear" w:color="auto" w:fill="auto"/>
            <w:vAlign w:val="center"/>
          </w:tcPr>
          <w:p w14:paraId="7C07DFB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该数值指标可明确人体炎症反应严重程度，可进行评估冠状动脉粥样硬化性心脏病。</w:t>
            </w:r>
          </w:p>
        </w:tc>
      </w:tr>
      <w:tr w14:paraId="22DE20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071A04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2160" w:type="dxa"/>
            <w:vMerge w:val="restart"/>
            <w:tcBorders>
              <w:tl2br w:val="nil"/>
              <w:tr2bl w:val="nil"/>
            </w:tcBorders>
            <w:shd w:val="clear" w:color="auto" w:fill="auto"/>
            <w:vAlign w:val="center"/>
          </w:tcPr>
          <w:p w14:paraId="7C254E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X</w:t>
            </w:r>
            <w:r>
              <w:rPr>
                <w:rFonts w:hint="eastAsia" w:ascii="宋体" w:hAnsi="宋体" w:eastAsia="宋体" w:cs="宋体"/>
                <w:i w:val="0"/>
                <w:iCs w:val="0"/>
                <w:color w:val="000000"/>
                <w:kern w:val="0"/>
                <w:sz w:val="21"/>
                <w:szCs w:val="21"/>
                <w:highlight w:val="none"/>
                <w:u w:val="none"/>
                <w:lang w:val="en-US" w:eastAsia="zh-CN" w:bidi="ar"/>
              </w:rPr>
              <w:t>线检查（高清DR）</w:t>
            </w:r>
          </w:p>
        </w:tc>
        <w:tc>
          <w:tcPr>
            <w:tcW w:w="4537" w:type="dxa"/>
            <w:tcBorders>
              <w:tl2br w:val="nil"/>
              <w:tr2bl w:val="nil"/>
            </w:tcBorders>
            <w:shd w:val="clear" w:color="auto" w:fill="auto"/>
            <w:vAlign w:val="center"/>
          </w:tcPr>
          <w:p w14:paraId="734049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胸部正位片</w:t>
            </w:r>
          </w:p>
        </w:tc>
      </w:tr>
      <w:tr w14:paraId="01565ED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2D79C3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2160" w:type="dxa"/>
            <w:vMerge w:val="continue"/>
            <w:tcBorders>
              <w:tl2br w:val="nil"/>
              <w:tr2bl w:val="nil"/>
            </w:tcBorders>
            <w:shd w:val="clear" w:color="auto" w:fill="auto"/>
            <w:vAlign w:val="center"/>
          </w:tcPr>
          <w:p w14:paraId="24EC1EC0">
            <w:pPr>
              <w:jc w:val="center"/>
              <w:rPr>
                <w:rFonts w:hint="default" w:ascii="Times New Roman" w:hAnsi="Times New Roman" w:eastAsia="宋体" w:cs="Times New Roman"/>
                <w:i w:val="0"/>
                <w:iCs w:val="0"/>
                <w:color w:val="000000"/>
                <w:sz w:val="21"/>
                <w:szCs w:val="21"/>
                <w:highlight w:val="none"/>
                <w:u w:val="none"/>
              </w:rPr>
            </w:pPr>
          </w:p>
        </w:tc>
        <w:tc>
          <w:tcPr>
            <w:tcW w:w="4537" w:type="dxa"/>
            <w:tcBorders>
              <w:tl2br w:val="nil"/>
              <w:tr2bl w:val="nil"/>
            </w:tcBorders>
            <w:shd w:val="clear" w:color="auto" w:fill="auto"/>
            <w:vAlign w:val="center"/>
          </w:tcPr>
          <w:p w14:paraId="5DB7ECB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颈椎侧位片</w:t>
            </w:r>
          </w:p>
        </w:tc>
      </w:tr>
      <w:tr w14:paraId="29F049D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308279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2160" w:type="dxa"/>
            <w:vMerge w:val="continue"/>
            <w:tcBorders>
              <w:tl2br w:val="nil"/>
              <w:tr2bl w:val="nil"/>
            </w:tcBorders>
            <w:shd w:val="clear" w:color="auto" w:fill="auto"/>
            <w:vAlign w:val="center"/>
          </w:tcPr>
          <w:p w14:paraId="09159DC6">
            <w:pPr>
              <w:jc w:val="center"/>
              <w:rPr>
                <w:rFonts w:hint="default" w:ascii="Times New Roman" w:hAnsi="Times New Roman" w:eastAsia="宋体" w:cs="Times New Roman"/>
                <w:i w:val="0"/>
                <w:iCs w:val="0"/>
                <w:color w:val="000000"/>
                <w:sz w:val="21"/>
                <w:szCs w:val="21"/>
                <w:highlight w:val="none"/>
                <w:u w:val="none"/>
              </w:rPr>
            </w:pPr>
          </w:p>
        </w:tc>
        <w:tc>
          <w:tcPr>
            <w:tcW w:w="4537" w:type="dxa"/>
            <w:tcBorders>
              <w:tl2br w:val="nil"/>
              <w:tr2bl w:val="nil"/>
            </w:tcBorders>
            <w:shd w:val="clear" w:color="auto" w:fill="auto"/>
            <w:vAlign w:val="center"/>
          </w:tcPr>
          <w:p w14:paraId="37902FE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腰椎侧位片</w:t>
            </w:r>
          </w:p>
        </w:tc>
      </w:tr>
      <w:tr w14:paraId="323891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1C13381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2160" w:type="dxa"/>
            <w:tcBorders>
              <w:tl2br w:val="nil"/>
              <w:tr2bl w:val="nil"/>
            </w:tcBorders>
            <w:shd w:val="clear" w:color="auto" w:fill="auto"/>
            <w:vAlign w:val="center"/>
          </w:tcPr>
          <w:p w14:paraId="4541D1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男性员工彩超检查</w:t>
            </w:r>
          </w:p>
        </w:tc>
        <w:tc>
          <w:tcPr>
            <w:tcW w:w="4537" w:type="dxa"/>
            <w:tcBorders>
              <w:tl2br w:val="nil"/>
              <w:tr2bl w:val="nil"/>
            </w:tcBorders>
            <w:shd w:val="clear" w:color="auto" w:fill="auto"/>
            <w:vAlign w:val="center"/>
          </w:tcPr>
          <w:p w14:paraId="1571D88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前列腺彩超（彩超机）</w:t>
            </w:r>
          </w:p>
        </w:tc>
      </w:tr>
      <w:tr w14:paraId="0B0C29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2DEC80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2160" w:type="dxa"/>
            <w:tcBorders>
              <w:tl2br w:val="nil"/>
              <w:tr2bl w:val="nil"/>
            </w:tcBorders>
            <w:shd w:val="clear" w:color="auto" w:fill="auto"/>
            <w:vAlign w:val="center"/>
          </w:tcPr>
          <w:p w14:paraId="3FD57A1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女性员工彩超检查</w:t>
            </w:r>
          </w:p>
        </w:tc>
        <w:tc>
          <w:tcPr>
            <w:tcW w:w="4537" w:type="dxa"/>
            <w:tcBorders>
              <w:tl2br w:val="nil"/>
              <w:tr2bl w:val="nil"/>
            </w:tcBorders>
            <w:shd w:val="clear" w:color="auto" w:fill="auto"/>
            <w:vAlign w:val="center"/>
          </w:tcPr>
          <w:p w14:paraId="7939F3E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彩超检查双侧乳腺（彩超机）</w:t>
            </w:r>
          </w:p>
        </w:tc>
      </w:tr>
      <w:tr w14:paraId="576816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5DEB80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2160" w:type="dxa"/>
            <w:tcBorders>
              <w:tl2br w:val="nil"/>
              <w:tr2bl w:val="nil"/>
            </w:tcBorders>
            <w:shd w:val="clear" w:color="auto" w:fill="auto"/>
            <w:vAlign w:val="center"/>
          </w:tcPr>
          <w:p w14:paraId="11B97B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女性已婚员工彩超检查</w:t>
            </w:r>
          </w:p>
        </w:tc>
        <w:tc>
          <w:tcPr>
            <w:tcW w:w="4537" w:type="dxa"/>
            <w:tcBorders>
              <w:tl2br w:val="nil"/>
              <w:tr2bl w:val="nil"/>
            </w:tcBorders>
            <w:shd w:val="clear" w:color="auto" w:fill="auto"/>
            <w:vAlign w:val="center"/>
          </w:tcPr>
          <w:p w14:paraId="0695DB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阴式彩超（阴彩有侵入性，不适合未婚的女士做此项目，未婚做子宫附件彩超）</w:t>
            </w:r>
          </w:p>
        </w:tc>
      </w:tr>
      <w:tr w14:paraId="60F4A52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76" w:hRule="atLeast"/>
          <w:jc w:val="center"/>
        </w:trPr>
        <w:tc>
          <w:tcPr>
            <w:tcW w:w="975" w:type="dxa"/>
            <w:tcBorders>
              <w:tl2br w:val="nil"/>
              <w:tr2bl w:val="nil"/>
            </w:tcBorders>
            <w:shd w:val="clear" w:color="auto" w:fill="auto"/>
            <w:vAlign w:val="center"/>
          </w:tcPr>
          <w:p w14:paraId="301C03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2160" w:type="dxa"/>
            <w:tcBorders>
              <w:tl2br w:val="nil"/>
              <w:tr2bl w:val="nil"/>
            </w:tcBorders>
            <w:shd w:val="clear" w:color="auto" w:fill="auto"/>
            <w:vAlign w:val="center"/>
          </w:tcPr>
          <w:p w14:paraId="581440B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女性未婚员工彩超检查</w:t>
            </w:r>
          </w:p>
        </w:tc>
        <w:tc>
          <w:tcPr>
            <w:tcW w:w="4537" w:type="dxa"/>
            <w:tcBorders>
              <w:tl2br w:val="nil"/>
              <w:tr2bl w:val="nil"/>
            </w:tcBorders>
            <w:shd w:val="clear" w:color="auto" w:fill="auto"/>
            <w:vAlign w:val="center"/>
          </w:tcPr>
          <w:p w14:paraId="0823481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子宫附件彩超</w:t>
            </w:r>
          </w:p>
        </w:tc>
      </w:tr>
      <w:tr w14:paraId="294A3B2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6DBD49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2160" w:type="dxa"/>
            <w:tcBorders>
              <w:tl2br w:val="nil"/>
              <w:tr2bl w:val="nil"/>
            </w:tcBorders>
            <w:shd w:val="clear" w:color="auto" w:fill="auto"/>
            <w:vAlign w:val="center"/>
          </w:tcPr>
          <w:p w14:paraId="04D4B1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妇科检查</w:t>
            </w:r>
          </w:p>
        </w:tc>
        <w:tc>
          <w:tcPr>
            <w:tcW w:w="4537" w:type="dxa"/>
            <w:tcBorders>
              <w:tl2br w:val="nil"/>
              <w:tr2bl w:val="nil"/>
            </w:tcBorders>
            <w:shd w:val="clear" w:color="auto" w:fill="auto"/>
            <w:vAlign w:val="center"/>
          </w:tcPr>
          <w:p w14:paraId="50160EB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妇检</w:t>
            </w:r>
          </w:p>
        </w:tc>
      </w:tr>
      <w:tr w14:paraId="16E0C6A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4B401B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2160" w:type="dxa"/>
            <w:tcBorders>
              <w:tl2br w:val="nil"/>
              <w:tr2bl w:val="nil"/>
            </w:tcBorders>
            <w:shd w:val="clear" w:color="auto" w:fill="auto"/>
            <w:vAlign w:val="center"/>
          </w:tcPr>
          <w:p w14:paraId="124B70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c>
          <w:tcPr>
            <w:tcW w:w="4537" w:type="dxa"/>
            <w:tcBorders>
              <w:tl2br w:val="nil"/>
              <w:tr2bl w:val="nil"/>
            </w:tcBorders>
            <w:shd w:val="clear" w:color="auto" w:fill="auto"/>
            <w:vAlign w:val="center"/>
          </w:tcPr>
          <w:p w14:paraId="0BE966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r>
      <w:tr w14:paraId="1A4D9FC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975" w:type="dxa"/>
            <w:tcBorders>
              <w:tl2br w:val="nil"/>
              <w:tr2bl w:val="nil"/>
            </w:tcBorders>
            <w:shd w:val="clear" w:color="auto" w:fill="auto"/>
            <w:vAlign w:val="center"/>
          </w:tcPr>
          <w:p w14:paraId="110CD5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2160" w:type="dxa"/>
            <w:tcBorders>
              <w:tl2br w:val="nil"/>
              <w:tr2bl w:val="nil"/>
            </w:tcBorders>
            <w:shd w:val="clear" w:color="auto" w:fill="auto"/>
            <w:vAlign w:val="center"/>
          </w:tcPr>
          <w:p w14:paraId="3D895D9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宫颈刮片</w:t>
            </w:r>
          </w:p>
        </w:tc>
        <w:tc>
          <w:tcPr>
            <w:tcW w:w="4537" w:type="dxa"/>
            <w:tcBorders>
              <w:tl2br w:val="nil"/>
              <w:tr2bl w:val="nil"/>
            </w:tcBorders>
            <w:shd w:val="clear" w:color="auto" w:fill="auto"/>
            <w:vAlign w:val="center"/>
          </w:tcPr>
          <w:p w14:paraId="2E960FE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宫颈疾病检查</w:t>
            </w:r>
          </w:p>
        </w:tc>
      </w:tr>
    </w:tbl>
    <w:p w14:paraId="25A32112">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（三）项目期限</w:t>
      </w:r>
    </w:p>
    <w:p w14:paraId="79A43BFE">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本项目期限为订立合同之日起至招标人指定外派员工年度体检全部完成。</w:t>
      </w:r>
    </w:p>
    <w:p w14:paraId="3AAAF62A">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五、项目总限价与分项限价</w:t>
      </w:r>
    </w:p>
    <w:p w14:paraId="37F825DC">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本项目总限价为人民币</w:t>
      </w:r>
      <w:r>
        <w:rPr>
          <w:rFonts w:hint="eastAsia" w:ascii="仿宋_GB2312" w:hAnsi="仿宋_GB2312" w:eastAsia="仿宋_GB2312" w:cs="仿宋_GB2312"/>
          <w:b w:val="0"/>
          <w:bCs w:val="0"/>
          <w:sz w:val="32"/>
          <w:szCs w:val="32"/>
          <w:highlight w:val="none"/>
          <w:lang w:val="en-US" w:eastAsia="zh-CN"/>
        </w:rPr>
        <w:t>340860</w:t>
      </w:r>
      <w:r>
        <w:rPr>
          <w:rFonts w:hint="eastAsia" w:ascii="仿宋_GB2312" w:hAnsi="仿宋_GB2312" w:eastAsia="仿宋_GB2312" w:cs="仿宋_GB2312"/>
          <w:bCs/>
          <w:sz w:val="32"/>
          <w:szCs w:val="32"/>
          <w:highlight w:val="none"/>
        </w:rPr>
        <w:t>元</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含增值税）</w:t>
      </w:r>
      <w:r>
        <w:rPr>
          <w:rFonts w:hint="eastAsia" w:ascii="仿宋_GB2312" w:hAnsi="仿宋_GB2312" w:eastAsia="仿宋_GB2312" w:cs="仿宋_GB2312"/>
          <w:bCs/>
          <w:sz w:val="32"/>
          <w:szCs w:val="32"/>
          <w:highlight w:val="none"/>
        </w:rPr>
        <w:t>；</w:t>
      </w:r>
    </w:p>
    <w:p w14:paraId="34E70F37">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本项目执行分项限价：</w:t>
      </w:r>
    </w:p>
    <w:tbl>
      <w:tblPr>
        <w:tblStyle w:val="15"/>
        <w:tblpPr w:leftFromText="180" w:rightFromText="180" w:vertAnchor="text" w:horzAnchor="page" w:tblpX="1250" w:tblpY="232"/>
        <w:tblOverlap w:val="never"/>
        <w:tblW w:w="9667"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188"/>
        <w:gridCol w:w="1407"/>
        <w:gridCol w:w="2083"/>
        <w:gridCol w:w="3976"/>
        <w:gridCol w:w="13"/>
      </w:tblGrid>
      <w:tr w14:paraId="0B311DB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479" w:hRule="atLeast"/>
        </w:trPr>
        <w:tc>
          <w:tcPr>
            <w:tcW w:w="2188" w:type="dxa"/>
            <w:tcBorders>
              <w:tl2br w:val="nil"/>
              <w:tr2bl w:val="nil"/>
            </w:tcBorders>
            <w:noWrap w:val="0"/>
            <w:tcMar>
              <w:top w:w="15" w:type="dxa"/>
              <w:left w:w="15" w:type="dxa"/>
              <w:right w:w="15" w:type="dxa"/>
            </w:tcMar>
            <w:vAlign w:val="center"/>
          </w:tcPr>
          <w:p w14:paraId="130D2F82">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体检套餐标准限价</w:t>
            </w:r>
          </w:p>
        </w:tc>
        <w:tc>
          <w:tcPr>
            <w:tcW w:w="1407" w:type="dxa"/>
            <w:tcBorders>
              <w:tl2br w:val="nil"/>
              <w:tr2bl w:val="nil"/>
            </w:tcBorders>
            <w:noWrap w:val="0"/>
            <w:tcMar>
              <w:top w:w="15" w:type="dxa"/>
              <w:left w:w="15" w:type="dxa"/>
              <w:right w:w="15" w:type="dxa"/>
            </w:tcMar>
            <w:vAlign w:val="center"/>
          </w:tcPr>
          <w:p w14:paraId="042CDF97">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预计体检人数</w:t>
            </w:r>
          </w:p>
        </w:tc>
        <w:tc>
          <w:tcPr>
            <w:tcW w:w="2083" w:type="dxa"/>
            <w:tcBorders>
              <w:tl2br w:val="nil"/>
              <w:tr2bl w:val="nil"/>
            </w:tcBorders>
            <w:noWrap w:val="0"/>
            <w:tcMar>
              <w:top w:w="15" w:type="dxa"/>
              <w:left w:w="15" w:type="dxa"/>
              <w:right w:w="15" w:type="dxa"/>
            </w:tcMar>
            <w:vAlign w:val="center"/>
          </w:tcPr>
          <w:p w14:paraId="56C11216">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sz w:val="22"/>
                <w:szCs w:val="22"/>
                <w:highlight w:val="none"/>
              </w:rPr>
              <w:t>服务地点</w:t>
            </w:r>
          </w:p>
        </w:tc>
        <w:tc>
          <w:tcPr>
            <w:tcW w:w="3976" w:type="dxa"/>
            <w:tcBorders>
              <w:tl2br w:val="nil"/>
              <w:tr2bl w:val="nil"/>
            </w:tcBorders>
            <w:noWrap w:val="0"/>
            <w:tcMar>
              <w:top w:w="15" w:type="dxa"/>
              <w:left w:w="15" w:type="dxa"/>
              <w:right w:w="15" w:type="dxa"/>
            </w:tcMar>
            <w:vAlign w:val="center"/>
          </w:tcPr>
          <w:p w14:paraId="52E6669C">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
                <w:color w:val="000000"/>
                <w:sz w:val="22"/>
                <w:szCs w:val="22"/>
                <w:highlight w:val="none"/>
              </w:rPr>
            </w:pPr>
            <w:r>
              <w:rPr>
                <w:rFonts w:hint="eastAsia" w:ascii="宋体" w:hAnsi="宋体" w:eastAsia="宋体" w:cs="宋体"/>
                <w:b/>
                <w:color w:val="000000"/>
                <w:kern w:val="0"/>
                <w:sz w:val="22"/>
                <w:szCs w:val="22"/>
                <w:highlight w:val="none"/>
              </w:rPr>
              <w:t>备注</w:t>
            </w:r>
          </w:p>
        </w:tc>
      </w:tr>
      <w:tr w14:paraId="6526C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12" w:hRule="atLeast"/>
        </w:trPr>
        <w:tc>
          <w:tcPr>
            <w:tcW w:w="2188" w:type="dxa"/>
            <w:tcBorders>
              <w:tl2br w:val="nil"/>
              <w:tr2bl w:val="nil"/>
            </w:tcBorders>
            <w:noWrap w:val="0"/>
            <w:tcMar>
              <w:top w:w="15" w:type="dxa"/>
              <w:left w:w="15" w:type="dxa"/>
              <w:right w:w="15" w:type="dxa"/>
            </w:tcMar>
            <w:vAlign w:val="center"/>
          </w:tcPr>
          <w:p w14:paraId="7AF6ABB1">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标准不超过390元/人</w:t>
            </w:r>
          </w:p>
        </w:tc>
        <w:tc>
          <w:tcPr>
            <w:tcW w:w="1407" w:type="dxa"/>
            <w:tcBorders>
              <w:tl2br w:val="nil"/>
              <w:tr2bl w:val="nil"/>
            </w:tcBorders>
            <w:noWrap w:val="0"/>
            <w:tcMar>
              <w:top w:w="15" w:type="dxa"/>
              <w:left w:w="15" w:type="dxa"/>
              <w:right w:w="15" w:type="dxa"/>
            </w:tcMar>
            <w:vAlign w:val="center"/>
          </w:tcPr>
          <w:p w14:paraId="7028770D">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cs="宋体"/>
                <w:color w:val="auto"/>
                <w:kern w:val="0"/>
                <w:sz w:val="22"/>
                <w:szCs w:val="22"/>
                <w:highlight w:val="none"/>
                <w:lang w:val="en-US" w:eastAsia="zh-CN"/>
              </w:rPr>
              <w:t>474</w:t>
            </w:r>
          </w:p>
        </w:tc>
        <w:tc>
          <w:tcPr>
            <w:tcW w:w="2083" w:type="dxa"/>
            <w:tcBorders>
              <w:tl2br w:val="nil"/>
              <w:tr2bl w:val="nil"/>
            </w:tcBorders>
            <w:noWrap w:val="0"/>
            <w:tcMar>
              <w:top w:w="15" w:type="dxa"/>
              <w:left w:w="15" w:type="dxa"/>
              <w:right w:w="15" w:type="dxa"/>
            </w:tcMar>
            <w:vAlign w:val="center"/>
          </w:tcPr>
          <w:p w14:paraId="091CC273">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eastAsia="宋体" w:cs="宋体"/>
                <w:bCs/>
                <w:color w:val="auto"/>
                <w:sz w:val="22"/>
                <w:szCs w:val="22"/>
                <w:highlight w:val="none"/>
                <w:lang w:val="en-US" w:eastAsia="zh-CN"/>
              </w:rPr>
            </w:pPr>
            <w:r>
              <w:rPr>
                <w:rFonts w:hint="eastAsia" w:ascii="宋体" w:hAnsi="宋体" w:cs="宋体"/>
                <w:bCs/>
                <w:color w:val="auto"/>
                <w:kern w:val="0"/>
                <w:sz w:val="22"/>
                <w:szCs w:val="22"/>
                <w:highlight w:val="none"/>
                <w:lang w:val="en-US" w:eastAsia="zh-CN"/>
              </w:rPr>
              <w:t>深圳、全国若干地点</w:t>
            </w:r>
          </w:p>
        </w:tc>
        <w:tc>
          <w:tcPr>
            <w:tcW w:w="3976" w:type="dxa"/>
            <w:tcBorders>
              <w:tl2br w:val="nil"/>
              <w:tr2bl w:val="nil"/>
            </w:tcBorders>
            <w:noWrap w:val="0"/>
            <w:tcMar>
              <w:top w:w="15" w:type="dxa"/>
              <w:left w:w="15" w:type="dxa"/>
              <w:right w:w="15" w:type="dxa"/>
            </w:tcMar>
            <w:vAlign w:val="center"/>
          </w:tcPr>
          <w:p w14:paraId="19113F53">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sz w:val="22"/>
                <w:szCs w:val="22"/>
                <w:highlight w:val="none"/>
              </w:rPr>
            </w:pPr>
            <w:r>
              <w:rPr>
                <w:rFonts w:hint="eastAsia" w:ascii="宋体" w:hAnsi="宋体" w:eastAsia="宋体" w:cs="宋体"/>
                <w:bCs/>
                <w:color w:val="000000"/>
                <w:kern w:val="0"/>
                <w:sz w:val="22"/>
                <w:szCs w:val="22"/>
                <w:highlight w:val="none"/>
              </w:rPr>
              <w:t>男</w:t>
            </w:r>
            <w:r>
              <w:rPr>
                <w:rFonts w:hint="eastAsia" w:ascii="宋体" w:hAnsi="宋体" w:cs="宋体"/>
                <w:bCs/>
                <w:color w:val="000000"/>
                <w:kern w:val="0"/>
                <w:sz w:val="22"/>
                <w:szCs w:val="22"/>
                <w:highlight w:val="none"/>
                <w:lang w:val="en-US" w:eastAsia="zh-CN"/>
              </w:rPr>
              <w:t>86</w:t>
            </w:r>
            <w:r>
              <w:rPr>
                <w:rFonts w:hint="eastAsia" w:ascii="宋体" w:hAnsi="宋体" w:eastAsia="宋体" w:cs="宋体"/>
                <w:bCs/>
                <w:color w:val="000000"/>
                <w:kern w:val="0"/>
                <w:sz w:val="22"/>
                <w:szCs w:val="22"/>
                <w:highlight w:val="none"/>
              </w:rPr>
              <w:t>人，女</w:t>
            </w:r>
            <w:r>
              <w:rPr>
                <w:rFonts w:hint="eastAsia" w:ascii="宋体" w:hAnsi="宋体" w:cs="宋体"/>
                <w:bCs/>
                <w:color w:val="000000"/>
                <w:kern w:val="0"/>
                <w:sz w:val="22"/>
                <w:szCs w:val="22"/>
                <w:highlight w:val="none"/>
                <w:lang w:val="en-US" w:eastAsia="zh-CN"/>
              </w:rPr>
              <w:t>388</w:t>
            </w:r>
            <w:r>
              <w:rPr>
                <w:rFonts w:hint="eastAsia" w:ascii="宋体" w:hAnsi="宋体" w:eastAsia="宋体" w:cs="宋体"/>
                <w:bCs/>
                <w:color w:val="000000"/>
                <w:kern w:val="0"/>
                <w:sz w:val="22"/>
                <w:szCs w:val="22"/>
                <w:highlight w:val="none"/>
              </w:rPr>
              <w:t>人（未婚</w:t>
            </w:r>
            <w:r>
              <w:rPr>
                <w:rFonts w:hint="eastAsia" w:ascii="宋体" w:hAnsi="宋体" w:cs="宋体"/>
                <w:bCs/>
                <w:color w:val="000000"/>
                <w:kern w:val="0"/>
                <w:sz w:val="22"/>
                <w:szCs w:val="22"/>
                <w:highlight w:val="none"/>
                <w:lang w:val="en-US" w:eastAsia="zh-CN"/>
              </w:rPr>
              <w:t>169</w:t>
            </w:r>
            <w:r>
              <w:rPr>
                <w:rFonts w:hint="eastAsia" w:ascii="宋体" w:hAnsi="宋体" w:eastAsia="宋体" w:cs="宋体"/>
                <w:bCs/>
                <w:color w:val="000000"/>
                <w:kern w:val="0"/>
                <w:sz w:val="22"/>
                <w:szCs w:val="22"/>
                <w:highlight w:val="none"/>
              </w:rPr>
              <w:t>，已婚</w:t>
            </w:r>
            <w:r>
              <w:rPr>
                <w:rFonts w:hint="eastAsia" w:ascii="宋体" w:hAnsi="宋体" w:cs="宋体"/>
                <w:bCs/>
                <w:color w:val="000000"/>
                <w:kern w:val="0"/>
                <w:sz w:val="22"/>
                <w:szCs w:val="22"/>
                <w:highlight w:val="none"/>
                <w:lang w:val="en-US" w:eastAsia="zh-CN"/>
              </w:rPr>
              <w:t>219</w:t>
            </w:r>
            <w:r>
              <w:rPr>
                <w:rFonts w:hint="eastAsia" w:ascii="宋体" w:hAnsi="宋体" w:eastAsia="宋体" w:cs="宋体"/>
                <w:bCs/>
                <w:color w:val="000000"/>
                <w:kern w:val="0"/>
                <w:sz w:val="22"/>
                <w:szCs w:val="22"/>
                <w:highlight w:val="none"/>
              </w:rPr>
              <w:t>）</w:t>
            </w:r>
          </w:p>
        </w:tc>
      </w:tr>
      <w:tr w14:paraId="5646F0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2188" w:type="dxa"/>
            <w:tcBorders>
              <w:tl2br w:val="nil"/>
              <w:tr2bl w:val="nil"/>
            </w:tcBorders>
            <w:noWrap w:val="0"/>
            <w:tcMar>
              <w:top w:w="15" w:type="dxa"/>
              <w:left w:w="15" w:type="dxa"/>
              <w:right w:w="15" w:type="dxa"/>
            </w:tcMar>
            <w:vAlign w:val="center"/>
          </w:tcPr>
          <w:p w14:paraId="692EDF33">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eastAsia" w:ascii="宋体" w:hAnsi="宋体" w:eastAsia="宋体" w:cs="宋体"/>
                <w:b/>
                <w:bCs/>
                <w:color w:val="000000"/>
                <w:kern w:val="0"/>
                <w:sz w:val="22"/>
                <w:szCs w:val="22"/>
                <w:highlight w:val="none"/>
              </w:rPr>
            </w:pPr>
            <w:r>
              <w:rPr>
                <w:rFonts w:hint="eastAsia" w:ascii="宋体" w:hAnsi="宋体" w:eastAsia="宋体" w:cs="宋体"/>
                <w:bCs/>
                <w:color w:val="000000"/>
                <w:kern w:val="0"/>
                <w:sz w:val="22"/>
                <w:szCs w:val="22"/>
                <w:highlight w:val="none"/>
              </w:rPr>
              <w:t>标准不超过</w:t>
            </w:r>
            <w:r>
              <w:rPr>
                <w:rFonts w:hint="eastAsia" w:ascii="宋体" w:hAnsi="宋体" w:cs="宋体"/>
                <w:bCs/>
                <w:color w:val="000000"/>
                <w:kern w:val="0"/>
                <w:sz w:val="22"/>
                <w:szCs w:val="22"/>
                <w:highlight w:val="none"/>
                <w:lang w:val="en-US" w:eastAsia="zh-CN"/>
              </w:rPr>
              <w:t>500</w:t>
            </w:r>
            <w:r>
              <w:rPr>
                <w:rFonts w:hint="eastAsia" w:ascii="宋体" w:hAnsi="宋体" w:eastAsia="宋体" w:cs="宋体"/>
                <w:bCs/>
                <w:color w:val="000000"/>
                <w:kern w:val="0"/>
                <w:sz w:val="22"/>
                <w:szCs w:val="22"/>
                <w:highlight w:val="none"/>
              </w:rPr>
              <w:t>元/人</w:t>
            </w:r>
          </w:p>
        </w:tc>
        <w:tc>
          <w:tcPr>
            <w:tcW w:w="1407" w:type="dxa"/>
            <w:tcBorders>
              <w:tl2br w:val="nil"/>
              <w:tr2bl w:val="nil"/>
            </w:tcBorders>
            <w:noWrap w:val="0"/>
            <w:tcMar>
              <w:top w:w="15" w:type="dxa"/>
              <w:left w:w="15" w:type="dxa"/>
              <w:right w:w="15" w:type="dxa"/>
            </w:tcMar>
            <w:vAlign w:val="center"/>
          </w:tcPr>
          <w:p w14:paraId="42EF9680">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cs="宋体"/>
                <w:b/>
                <w:bCs w:val="0"/>
                <w:color w:val="000000"/>
                <w:kern w:val="0"/>
                <w:sz w:val="22"/>
                <w:szCs w:val="22"/>
                <w:highlight w:val="none"/>
                <w:lang w:val="en-US" w:eastAsia="zh-CN"/>
              </w:rPr>
            </w:pPr>
            <w:r>
              <w:rPr>
                <w:rFonts w:hint="eastAsia" w:ascii="宋体" w:hAnsi="宋体" w:cs="宋体"/>
                <w:color w:val="auto"/>
                <w:kern w:val="0"/>
                <w:sz w:val="22"/>
                <w:szCs w:val="22"/>
                <w:highlight w:val="none"/>
                <w:lang w:val="en-US" w:eastAsia="zh-CN"/>
              </w:rPr>
              <w:t>312</w:t>
            </w:r>
          </w:p>
        </w:tc>
        <w:tc>
          <w:tcPr>
            <w:tcW w:w="2083" w:type="dxa"/>
            <w:tcBorders>
              <w:tl2br w:val="nil"/>
              <w:tr2bl w:val="nil"/>
            </w:tcBorders>
            <w:noWrap w:val="0"/>
            <w:tcMar>
              <w:top w:w="15" w:type="dxa"/>
              <w:left w:w="15" w:type="dxa"/>
              <w:right w:w="15" w:type="dxa"/>
            </w:tcMar>
            <w:vAlign w:val="center"/>
          </w:tcPr>
          <w:p w14:paraId="35009F27">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eastAsia" w:ascii="宋体" w:hAnsi="宋体" w:eastAsia="宋体" w:cs="宋体"/>
                <w:bCs/>
                <w:color w:val="000000"/>
                <w:kern w:val="0"/>
                <w:sz w:val="22"/>
                <w:szCs w:val="22"/>
                <w:highlight w:val="none"/>
              </w:rPr>
            </w:pPr>
            <w:r>
              <w:rPr>
                <w:rFonts w:hint="eastAsia" w:ascii="宋体" w:hAnsi="宋体" w:cs="宋体"/>
                <w:bCs/>
                <w:color w:val="auto"/>
                <w:kern w:val="0"/>
                <w:sz w:val="22"/>
                <w:szCs w:val="22"/>
                <w:highlight w:val="none"/>
                <w:lang w:val="en-US" w:eastAsia="zh-CN"/>
              </w:rPr>
              <w:t>深圳、全国若干地点</w:t>
            </w:r>
          </w:p>
        </w:tc>
        <w:tc>
          <w:tcPr>
            <w:tcW w:w="3989" w:type="dxa"/>
            <w:gridSpan w:val="2"/>
            <w:tcBorders>
              <w:tl2br w:val="nil"/>
              <w:tr2bl w:val="nil"/>
            </w:tcBorders>
            <w:noWrap w:val="0"/>
            <w:tcMar>
              <w:top w:w="15" w:type="dxa"/>
              <w:left w:w="15" w:type="dxa"/>
              <w:right w:w="15" w:type="dxa"/>
            </w:tcMar>
            <w:vAlign w:val="center"/>
          </w:tcPr>
          <w:p w14:paraId="40B02F78">
            <w:pPr>
              <w:keepNext w:val="0"/>
              <w:keepLines w:val="0"/>
              <w:pageBreakBefore w:val="0"/>
              <w:widowControl w:val="0"/>
              <w:kinsoku/>
              <w:wordWrap w:val="0"/>
              <w:overflowPunct/>
              <w:topLinePunct w:val="0"/>
              <w:autoSpaceDE/>
              <w:autoSpaceDN/>
              <w:bidi w:val="0"/>
              <w:adjustRightInd/>
              <w:snapToGrid/>
              <w:spacing w:line="280" w:lineRule="exact"/>
              <w:jc w:val="left"/>
              <w:textAlignment w:val="center"/>
              <w:rPr>
                <w:rFonts w:hint="eastAsia" w:ascii="宋体" w:hAnsi="宋体" w:cs="宋体"/>
                <w:bCs/>
                <w:color w:val="000000"/>
                <w:sz w:val="22"/>
                <w:szCs w:val="22"/>
                <w:highlight w:val="none"/>
                <w:lang w:val="en-US" w:eastAsia="zh-CN"/>
              </w:rPr>
            </w:pPr>
            <w:r>
              <w:rPr>
                <w:rFonts w:hint="eastAsia" w:ascii="宋体" w:hAnsi="宋体" w:eastAsia="宋体" w:cs="宋体"/>
                <w:bCs/>
                <w:color w:val="000000"/>
                <w:kern w:val="0"/>
                <w:sz w:val="22"/>
                <w:szCs w:val="22"/>
                <w:highlight w:val="none"/>
              </w:rPr>
              <w:t>男</w:t>
            </w:r>
            <w:r>
              <w:rPr>
                <w:rFonts w:hint="eastAsia" w:ascii="宋体" w:hAnsi="宋体" w:cs="宋体"/>
                <w:bCs/>
                <w:color w:val="000000"/>
                <w:kern w:val="0"/>
                <w:sz w:val="22"/>
                <w:szCs w:val="22"/>
                <w:highlight w:val="none"/>
                <w:lang w:val="en-US" w:eastAsia="zh-CN"/>
              </w:rPr>
              <w:t>118</w:t>
            </w:r>
            <w:r>
              <w:rPr>
                <w:rFonts w:hint="eastAsia" w:ascii="宋体" w:hAnsi="宋体" w:eastAsia="宋体" w:cs="宋体"/>
                <w:bCs/>
                <w:color w:val="000000"/>
                <w:kern w:val="0"/>
                <w:sz w:val="22"/>
                <w:szCs w:val="22"/>
                <w:highlight w:val="none"/>
              </w:rPr>
              <w:t>人，女</w:t>
            </w:r>
            <w:r>
              <w:rPr>
                <w:rFonts w:hint="eastAsia" w:ascii="宋体" w:hAnsi="宋体" w:cs="宋体"/>
                <w:bCs/>
                <w:color w:val="000000"/>
                <w:kern w:val="0"/>
                <w:sz w:val="22"/>
                <w:szCs w:val="22"/>
                <w:highlight w:val="none"/>
                <w:lang w:val="en-US" w:eastAsia="zh-CN"/>
              </w:rPr>
              <w:t>194</w:t>
            </w:r>
            <w:r>
              <w:rPr>
                <w:rFonts w:hint="eastAsia" w:ascii="宋体" w:hAnsi="宋体" w:eastAsia="宋体" w:cs="宋体"/>
                <w:bCs/>
                <w:color w:val="000000"/>
                <w:kern w:val="0"/>
                <w:sz w:val="22"/>
                <w:szCs w:val="22"/>
                <w:highlight w:val="none"/>
              </w:rPr>
              <w:t>人（未婚</w:t>
            </w:r>
            <w:r>
              <w:rPr>
                <w:rFonts w:hint="eastAsia" w:ascii="宋体" w:hAnsi="宋体" w:cs="宋体"/>
                <w:bCs/>
                <w:color w:val="000000"/>
                <w:kern w:val="0"/>
                <w:sz w:val="22"/>
                <w:szCs w:val="22"/>
                <w:highlight w:val="none"/>
                <w:lang w:val="en-US" w:eastAsia="zh-CN"/>
              </w:rPr>
              <w:t>77</w:t>
            </w:r>
            <w:r>
              <w:rPr>
                <w:rFonts w:hint="eastAsia" w:ascii="宋体" w:hAnsi="宋体" w:eastAsia="宋体" w:cs="宋体"/>
                <w:bCs/>
                <w:color w:val="000000"/>
                <w:kern w:val="0"/>
                <w:sz w:val="22"/>
                <w:szCs w:val="22"/>
                <w:highlight w:val="none"/>
              </w:rPr>
              <w:t>，已婚</w:t>
            </w:r>
            <w:r>
              <w:rPr>
                <w:rFonts w:hint="eastAsia" w:ascii="宋体" w:hAnsi="宋体" w:cs="宋体"/>
                <w:bCs/>
                <w:color w:val="000000"/>
                <w:kern w:val="0"/>
                <w:sz w:val="22"/>
                <w:szCs w:val="22"/>
                <w:highlight w:val="none"/>
                <w:lang w:val="en-US" w:eastAsia="zh-CN"/>
              </w:rPr>
              <w:t>117</w:t>
            </w:r>
            <w:r>
              <w:rPr>
                <w:rFonts w:hint="eastAsia" w:ascii="宋体" w:hAnsi="宋体" w:eastAsia="宋体" w:cs="宋体"/>
                <w:bCs/>
                <w:color w:val="000000"/>
                <w:kern w:val="0"/>
                <w:sz w:val="22"/>
                <w:szCs w:val="22"/>
                <w:highlight w:val="none"/>
              </w:rPr>
              <w:t>）</w:t>
            </w:r>
          </w:p>
        </w:tc>
      </w:tr>
      <w:tr w14:paraId="2FB4E4A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2188" w:type="dxa"/>
            <w:tcBorders>
              <w:tl2br w:val="nil"/>
              <w:tr2bl w:val="nil"/>
            </w:tcBorders>
            <w:noWrap w:val="0"/>
            <w:tcMar>
              <w:top w:w="15" w:type="dxa"/>
              <w:left w:w="15" w:type="dxa"/>
              <w:right w:w="15" w:type="dxa"/>
            </w:tcMar>
            <w:vAlign w:val="center"/>
          </w:tcPr>
          <w:p w14:paraId="1FBD5C53">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kern w:val="0"/>
                <w:sz w:val="22"/>
                <w:szCs w:val="22"/>
                <w:highlight w:val="none"/>
              </w:rPr>
            </w:pPr>
            <w:r>
              <w:rPr>
                <w:rFonts w:hint="eastAsia" w:ascii="宋体" w:hAnsi="宋体" w:eastAsia="宋体" w:cs="宋体"/>
                <w:b/>
                <w:bCs/>
                <w:color w:val="000000"/>
                <w:kern w:val="0"/>
                <w:sz w:val="22"/>
                <w:szCs w:val="22"/>
                <w:highlight w:val="none"/>
              </w:rPr>
              <w:t>合计</w:t>
            </w:r>
          </w:p>
        </w:tc>
        <w:tc>
          <w:tcPr>
            <w:tcW w:w="1407" w:type="dxa"/>
            <w:tcBorders>
              <w:tl2br w:val="nil"/>
              <w:tr2bl w:val="nil"/>
            </w:tcBorders>
            <w:noWrap w:val="0"/>
            <w:tcMar>
              <w:top w:w="15" w:type="dxa"/>
              <w:left w:w="15" w:type="dxa"/>
              <w:right w:w="15" w:type="dxa"/>
            </w:tcMar>
            <w:vAlign w:val="center"/>
          </w:tcPr>
          <w:p w14:paraId="5438AFD0">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hint="default" w:ascii="宋体" w:hAnsi="宋体" w:eastAsia="宋体" w:cs="宋体"/>
                <w:bCs/>
                <w:color w:val="000000"/>
                <w:kern w:val="0"/>
                <w:sz w:val="22"/>
                <w:szCs w:val="22"/>
                <w:highlight w:val="none"/>
                <w:lang w:val="en-US" w:eastAsia="zh-CN"/>
              </w:rPr>
            </w:pPr>
            <w:r>
              <w:rPr>
                <w:rFonts w:hint="eastAsia" w:ascii="宋体" w:hAnsi="宋体" w:cs="宋体"/>
                <w:b/>
                <w:bCs w:val="0"/>
                <w:color w:val="000000"/>
                <w:kern w:val="0"/>
                <w:sz w:val="22"/>
                <w:szCs w:val="22"/>
                <w:highlight w:val="none"/>
                <w:lang w:val="en-US" w:eastAsia="zh-CN"/>
              </w:rPr>
              <w:t>786</w:t>
            </w:r>
          </w:p>
        </w:tc>
        <w:tc>
          <w:tcPr>
            <w:tcW w:w="2083" w:type="dxa"/>
            <w:tcBorders>
              <w:tl2br w:val="nil"/>
              <w:tr2bl w:val="nil"/>
            </w:tcBorders>
            <w:noWrap w:val="0"/>
            <w:tcMar>
              <w:top w:w="15" w:type="dxa"/>
              <w:left w:w="15" w:type="dxa"/>
              <w:right w:w="15" w:type="dxa"/>
            </w:tcMar>
            <w:vAlign w:val="center"/>
          </w:tcPr>
          <w:p w14:paraId="2E8A0F39">
            <w:pPr>
              <w:keepNext w:val="0"/>
              <w:keepLines w:val="0"/>
              <w:pageBreakBefore w:val="0"/>
              <w:widowControl w:val="0"/>
              <w:kinsoku/>
              <w:wordWrap w:val="0"/>
              <w:overflowPunct/>
              <w:topLinePunct w:val="0"/>
              <w:autoSpaceDE/>
              <w:autoSpaceDN/>
              <w:bidi w:val="0"/>
              <w:adjustRightInd/>
              <w:snapToGrid/>
              <w:spacing w:line="280" w:lineRule="exact"/>
              <w:jc w:val="center"/>
              <w:textAlignment w:val="center"/>
              <w:rPr>
                <w:rFonts w:ascii="宋体" w:hAnsi="宋体" w:eastAsia="宋体" w:cs="宋体"/>
                <w:bCs/>
                <w:color w:val="000000"/>
                <w:kern w:val="0"/>
                <w:sz w:val="22"/>
                <w:szCs w:val="22"/>
                <w:highlight w:val="none"/>
              </w:rPr>
            </w:pPr>
            <w:r>
              <w:rPr>
                <w:rFonts w:hint="eastAsia" w:ascii="宋体" w:hAnsi="宋体" w:eastAsia="宋体" w:cs="宋体"/>
                <w:bCs/>
                <w:color w:val="000000"/>
                <w:kern w:val="0"/>
                <w:sz w:val="22"/>
                <w:szCs w:val="22"/>
                <w:highlight w:val="none"/>
              </w:rPr>
              <w:t>/</w:t>
            </w:r>
          </w:p>
        </w:tc>
        <w:tc>
          <w:tcPr>
            <w:tcW w:w="3989" w:type="dxa"/>
            <w:gridSpan w:val="2"/>
            <w:tcBorders>
              <w:tl2br w:val="nil"/>
              <w:tr2bl w:val="nil"/>
            </w:tcBorders>
            <w:noWrap w:val="0"/>
            <w:tcMar>
              <w:top w:w="15" w:type="dxa"/>
              <w:left w:w="15" w:type="dxa"/>
              <w:right w:w="15" w:type="dxa"/>
            </w:tcMar>
            <w:vAlign w:val="center"/>
          </w:tcPr>
          <w:p w14:paraId="33809F42">
            <w:pPr>
              <w:keepNext w:val="0"/>
              <w:keepLines w:val="0"/>
              <w:pageBreakBefore w:val="0"/>
              <w:widowControl w:val="0"/>
              <w:kinsoku/>
              <w:wordWrap w:val="0"/>
              <w:overflowPunct/>
              <w:topLinePunct w:val="0"/>
              <w:autoSpaceDE/>
              <w:autoSpaceDN/>
              <w:bidi w:val="0"/>
              <w:adjustRightInd/>
              <w:snapToGrid/>
              <w:spacing w:line="280" w:lineRule="exact"/>
              <w:ind w:firstLine="220" w:firstLineChars="100"/>
              <w:jc w:val="center"/>
              <w:textAlignment w:val="center"/>
              <w:rPr>
                <w:rFonts w:hint="default" w:ascii="宋体" w:hAnsi="宋体" w:eastAsia="宋体" w:cs="宋体"/>
                <w:bCs/>
                <w:color w:val="000000"/>
                <w:sz w:val="22"/>
                <w:szCs w:val="22"/>
                <w:highlight w:val="none"/>
                <w:lang w:val="en-US" w:eastAsia="zh-CN"/>
              </w:rPr>
            </w:pPr>
            <w:r>
              <w:rPr>
                <w:rFonts w:hint="eastAsia" w:ascii="宋体" w:hAnsi="宋体" w:cs="宋体"/>
                <w:bCs/>
                <w:color w:val="000000"/>
                <w:sz w:val="22"/>
                <w:szCs w:val="22"/>
                <w:highlight w:val="none"/>
                <w:lang w:val="en-US" w:eastAsia="zh-CN"/>
              </w:rPr>
              <w:t>/</w:t>
            </w:r>
          </w:p>
        </w:tc>
      </w:tr>
      <w:tr w14:paraId="4BDAA40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gridAfter w:val="1"/>
          <w:wAfter w:w="13" w:type="dxa"/>
          <w:trHeight w:val="598" w:hRule="atLeast"/>
        </w:trPr>
        <w:tc>
          <w:tcPr>
            <w:tcW w:w="9654" w:type="dxa"/>
            <w:gridSpan w:val="4"/>
            <w:tcBorders>
              <w:tl2br w:val="nil"/>
              <w:tr2bl w:val="nil"/>
            </w:tcBorders>
            <w:noWrap w:val="0"/>
            <w:tcMar>
              <w:top w:w="15" w:type="dxa"/>
              <w:left w:w="15" w:type="dxa"/>
              <w:right w:w="15" w:type="dxa"/>
            </w:tcMar>
            <w:vAlign w:val="center"/>
          </w:tcPr>
          <w:p w14:paraId="15EAD9A4">
            <w:pPr>
              <w:keepNext w:val="0"/>
              <w:keepLines w:val="0"/>
              <w:pageBreakBefore w:val="0"/>
              <w:widowControl w:val="0"/>
              <w:kinsoku/>
              <w:wordWrap w:val="0"/>
              <w:overflowPunct/>
              <w:topLinePunct w:val="0"/>
              <w:autoSpaceDE/>
              <w:autoSpaceDN/>
              <w:bidi w:val="0"/>
              <w:adjustRightInd/>
              <w:snapToGrid/>
              <w:spacing w:line="280" w:lineRule="exact"/>
              <w:ind w:firstLine="440" w:firstLineChars="200"/>
              <w:jc w:val="left"/>
              <w:textAlignment w:val="center"/>
              <w:rPr>
                <w:rFonts w:hint="eastAsia" w:ascii="宋体" w:hAnsi="宋体" w:eastAsia="宋体" w:cs="宋体"/>
                <w:b w:val="0"/>
                <w:bCs/>
                <w:color w:val="000000"/>
                <w:kern w:val="0"/>
                <w:sz w:val="22"/>
                <w:szCs w:val="22"/>
                <w:highlight w:val="none"/>
                <w:lang w:val="en-US" w:eastAsia="zh-CN"/>
              </w:rPr>
            </w:pPr>
            <w:r>
              <w:rPr>
                <w:rFonts w:hint="eastAsia" w:ascii="宋体" w:hAnsi="宋体" w:eastAsia="宋体" w:cs="宋体"/>
                <w:b w:val="0"/>
                <w:bCs/>
                <w:color w:val="000000"/>
                <w:kern w:val="0"/>
                <w:sz w:val="22"/>
                <w:szCs w:val="22"/>
                <w:highlight w:val="none"/>
                <w:lang w:val="en-US" w:eastAsia="zh-CN"/>
              </w:rPr>
              <w:t>说明：</w:t>
            </w:r>
          </w:p>
          <w:p w14:paraId="6B0DA19B">
            <w:pPr>
              <w:keepNext w:val="0"/>
              <w:keepLines w:val="0"/>
              <w:pageBreakBefore w:val="0"/>
              <w:widowControl w:val="0"/>
              <w:kinsoku/>
              <w:wordWrap w:val="0"/>
              <w:overflowPunct/>
              <w:topLinePunct w:val="0"/>
              <w:autoSpaceDE/>
              <w:autoSpaceDN/>
              <w:bidi w:val="0"/>
              <w:adjustRightInd/>
              <w:snapToGrid/>
              <w:spacing w:line="280" w:lineRule="exact"/>
              <w:ind w:firstLine="440" w:firstLineChars="200"/>
              <w:jc w:val="left"/>
              <w:textAlignment w:val="center"/>
              <w:rPr>
                <w:rFonts w:hint="eastAsia" w:ascii="宋体" w:hAnsi="宋体" w:eastAsia="宋体" w:cs="宋体"/>
                <w:b w:val="0"/>
                <w:bCs/>
                <w:color w:val="000000"/>
                <w:kern w:val="0"/>
                <w:sz w:val="22"/>
                <w:szCs w:val="22"/>
                <w:highlight w:val="none"/>
                <w:lang w:eastAsia="zh-CN"/>
              </w:rPr>
            </w:pPr>
            <w:r>
              <w:rPr>
                <w:rFonts w:hint="eastAsia" w:ascii="宋体" w:hAnsi="宋体" w:cs="宋体"/>
                <w:b w:val="0"/>
                <w:bCs/>
                <w:color w:val="000000"/>
                <w:kern w:val="0"/>
                <w:sz w:val="22"/>
                <w:szCs w:val="22"/>
                <w:highlight w:val="none"/>
                <w:lang w:val="en-US" w:eastAsia="zh-CN"/>
              </w:rPr>
              <w:t>1.</w:t>
            </w:r>
            <w:r>
              <w:rPr>
                <w:rFonts w:hint="eastAsia" w:ascii="宋体" w:hAnsi="宋体" w:eastAsia="宋体" w:cs="宋体"/>
                <w:b w:val="0"/>
                <w:bCs/>
                <w:color w:val="000000"/>
                <w:kern w:val="0"/>
                <w:sz w:val="22"/>
                <w:szCs w:val="22"/>
                <w:highlight w:val="none"/>
                <w:lang w:eastAsia="zh-CN"/>
              </w:rPr>
              <w:t>本文件内所有</w:t>
            </w:r>
            <w:r>
              <w:rPr>
                <w:rFonts w:hint="eastAsia" w:ascii="宋体" w:hAnsi="宋体" w:eastAsia="宋体" w:cs="宋体"/>
                <w:b w:val="0"/>
                <w:bCs/>
                <w:color w:val="000000"/>
                <w:kern w:val="0"/>
                <w:sz w:val="22"/>
                <w:szCs w:val="22"/>
                <w:highlight w:val="none"/>
                <w:lang w:val="en-US" w:eastAsia="zh-CN"/>
              </w:rPr>
              <w:t>预计</w:t>
            </w:r>
            <w:r>
              <w:rPr>
                <w:rFonts w:hint="eastAsia" w:ascii="宋体" w:hAnsi="宋体" w:eastAsia="宋体" w:cs="宋体"/>
                <w:b w:val="0"/>
                <w:bCs/>
                <w:color w:val="000000"/>
                <w:kern w:val="0"/>
                <w:sz w:val="22"/>
                <w:szCs w:val="22"/>
                <w:highlight w:val="none"/>
                <w:lang w:eastAsia="zh-CN"/>
              </w:rPr>
              <w:t>人数为</w:t>
            </w:r>
            <w:r>
              <w:rPr>
                <w:rFonts w:hint="eastAsia" w:ascii="宋体" w:hAnsi="宋体" w:cs="宋体"/>
                <w:b w:val="0"/>
                <w:bCs/>
                <w:color w:val="000000"/>
                <w:kern w:val="0"/>
                <w:sz w:val="22"/>
                <w:szCs w:val="22"/>
                <w:highlight w:val="none"/>
                <w:lang w:val="en-US" w:eastAsia="zh-CN"/>
              </w:rPr>
              <w:t>招标</w:t>
            </w:r>
            <w:r>
              <w:rPr>
                <w:rFonts w:hint="eastAsia" w:ascii="宋体" w:hAnsi="宋体" w:eastAsia="宋体" w:cs="宋体"/>
                <w:b w:val="0"/>
                <w:bCs/>
                <w:color w:val="000000"/>
                <w:kern w:val="0"/>
                <w:sz w:val="22"/>
                <w:szCs w:val="22"/>
                <w:highlight w:val="none"/>
                <w:lang w:eastAsia="zh-CN"/>
              </w:rPr>
              <w:t>人根据目前需求情况进行的预估，如后续发生变化的，以实际情况进行结算。</w:t>
            </w:r>
          </w:p>
          <w:p w14:paraId="39F2D85F">
            <w:pPr>
              <w:keepNext w:val="0"/>
              <w:keepLines w:val="0"/>
              <w:pageBreakBefore w:val="0"/>
              <w:widowControl w:val="0"/>
              <w:kinsoku/>
              <w:wordWrap w:val="0"/>
              <w:overflowPunct/>
              <w:topLinePunct w:val="0"/>
              <w:autoSpaceDE/>
              <w:autoSpaceDN/>
              <w:bidi w:val="0"/>
              <w:adjustRightInd/>
              <w:snapToGrid/>
              <w:spacing w:line="280" w:lineRule="exact"/>
              <w:ind w:firstLine="440" w:firstLineChars="200"/>
              <w:jc w:val="left"/>
              <w:textAlignment w:val="center"/>
              <w:rPr>
                <w:rFonts w:hint="default" w:ascii="宋体" w:hAnsi="宋体" w:eastAsia="宋体" w:cs="宋体"/>
                <w:b/>
                <w:color w:val="000000"/>
                <w:kern w:val="0"/>
                <w:sz w:val="22"/>
                <w:szCs w:val="22"/>
                <w:highlight w:val="none"/>
                <w:lang w:val="en-US" w:eastAsia="zh-CN"/>
              </w:rPr>
            </w:pPr>
            <w:r>
              <w:rPr>
                <w:rFonts w:hint="eastAsia" w:ascii="宋体" w:hAnsi="宋体" w:cs="宋体"/>
                <w:b w:val="0"/>
                <w:bCs/>
                <w:color w:val="000000"/>
                <w:kern w:val="0"/>
                <w:sz w:val="22"/>
                <w:szCs w:val="22"/>
                <w:highlight w:val="none"/>
                <w:lang w:val="en-US" w:eastAsia="zh-CN"/>
              </w:rPr>
              <w:t>2.</w:t>
            </w:r>
            <w:r>
              <w:rPr>
                <w:rFonts w:hint="eastAsia" w:ascii="宋体" w:hAnsi="宋体" w:eastAsia="宋体" w:cs="宋体"/>
                <w:b w:val="0"/>
                <w:bCs/>
                <w:color w:val="000000"/>
                <w:kern w:val="0"/>
                <w:sz w:val="22"/>
                <w:szCs w:val="22"/>
                <w:highlight w:val="none"/>
                <w:lang w:val="en-US" w:eastAsia="zh-CN"/>
              </w:rPr>
              <w:t>全国若干地点：北京、</w:t>
            </w:r>
            <w:r>
              <w:rPr>
                <w:rFonts w:hint="eastAsia" w:ascii="宋体" w:hAnsi="宋体" w:cs="宋体"/>
                <w:b w:val="0"/>
                <w:bCs/>
                <w:color w:val="000000"/>
                <w:kern w:val="0"/>
                <w:sz w:val="22"/>
                <w:szCs w:val="22"/>
                <w:highlight w:val="none"/>
                <w:lang w:val="en-US" w:eastAsia="zh-CN"/>
              </w:rPr>
              <w:t>四川成都、四川德阳、上海、江苏苏州、辽宁大连、广东广州、广东深圳</w:t>
            </w:r>
            <w:r>
              <w:rPr>
                <w:rFonts w:hint="eastAsia" w:ascii="宋体" w:hAnsi="宋体" w:eastAsia="宋体" w:cs="宋体"/>
                <w:b w:val="0"/>
                <w:bCs/>
                <w:color w:val="000000"/>
                <w:kern w:val="0"/>
                <w:sz w:val="22"/>
                <w:szCs w:val="22"/>
                <w:highlight w:val="none"/>
                <w:lang w:val="en-US" w:eastAsia="zh-CN"/>
              </w:rPr>
              <w:t>等地区。</w:t>
            </w:r>
          </w:p>
        </w:tc>
      </w:tr>
    </w:tbl>
    <w:p w14:paraId="7F5AE36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sz w:val="32"/>
          <w:szCs w:val="32"/>
          <w:highlight w:val="none"/>
        </w:rPr>
      </w:pPr>
      <w:r>
        <w:rPr>
          <w:rFonts w:hint="eastAsia" w:ascii="仿宋_GB2312" w:hAnsi="仿宋_GB2312" w:eastAsia="仿宋_GB2312" w:cs="仿宋_GB2312"/>
          <w:bCs/>
          <w:sz w:val="32"/>
          <w:szCs w:val="32"/>
          <w:highlight w:val="none"/>
        </w:rPr>
        <w:t>投标人应于报价文件中明确列示各标准下单价及项目总价，无论总价或各类别分项单价超出上述对应限额的均作为废标处理。</w:t>
      </w:r>
    </w:p>
    <w:p w14:paraId="05B19179">
      <w:pPr>
        <w:pStyle w:val="4"/>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黑体" w:hAnsi="黑体" w:eastAsia="黑体" w:cs="黑体"/>
          <w:b w:val="0"/>
          <w:sz w:val="32"/>
          <w:szCs w:val="32"/>
          <w:highlight w:val="none"/>
        </w:rPr>
      </w:pPr>
      <w:bookmarkStart w:id="27" w:name="_Toc2987"/>
      <w:r>
        <w:rPr>
          <w:rFonts w:hint="eastAsia" w:ascii="黑体" w:hAnsi="黑体" w:eastAsia="黑体" w:cs="黑体"/>
          <w:b w:val="0"/>
          <w:sz w:val="32"/>
          <w:szCs w:val="32"/>
          <w:highlight w:val="none"/>
        </w:rPr>
        <w:t>六、投标文件要求</w:t>
      </w:r>
      <w:bookmarkEnd w:id="27"/>
    </w:p>
    <w:p w14:paraId="2AD7077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（一）投标文件构成</w:t>
      </w:r>
    </w:p>
    <w:p w14:paraId="33E1FD63">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1.</w:t>
      </w:r>
      <w:r>
        <w:rPr>
          <w:rFonts w:hint="eastAsia" w:ascii="仿宋_GB2312" w:hAnsi="仿宋_GB2312" w:eastAsia="仿宋_GB2312" w:cs="仿宋_GB2312"/>
          <w:bCs/>
          <w:sz w:val="32"/>
          <w:szCs w:val="32"/>
          <w:highlight w:val="none"/>
        </w:rPr>
        <w:t>唱标信封及开标一览表</w:t>
      </w:r>
    </w:p>
    <w:p w14:paraId="34E6475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唱标信封</w:t>
      </w:r>
    </w:p>
    <w:p w14:paraId="7A266BB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用以密封开标一览表，信封格式见本文件“第二部分 招标文件 第四章 投标文件格式 格式1 唱标信封”；</w:t>
      </w:r>
    </w:p>
    <w:p w14:paraId="7B00752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开标一览表</w:t>
      </w:r>
    </w:p>
    <w:p w14:paraId="3BF7BF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用唱标信封单独封装，与投标文件一并递交，一览表指定格式见“第四章 投标文件格式 格式2 开标一览表”。</w:t>
      </w:r>
    </w:p>
    <w:p w14:paraId="77E5C780">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
          <w:bCs w:val="0"/>
          <w:sz w:val="32"/>
          <w:szCs w:val="32"/>
          <w:highlight w:val="none"/>
        </w:rPr>
        <w:t>2.</w:t>
      </w:r>
      <w:r>
        <w:rPr>
          <w:rFonts w:hint="eastAsia" w:ascii="仿宋_GB2312" w:hAnsi="仿宋_GB2312" w:eastAsia="仿宋_GB2312" w:cs="仿宋_GB2312"/>
          <w:bCs/>
          <w:sz w:val="32"/>
          <w:szCs w:val="32"/>
          <w:highlight w:val="none"/>
        </w:rPr>
        <w:t>投标文件</w:t>
      </w:r>
    </w:p>
    <w:p w14:paraId="0CB7D4A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资质证明文件</w:t>
      </w:r>
    </w:p>
    <w:p w14:paraId="18E4337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投标人资质证明文件应按以下顺序排序：</w:t>
      </w:r>
    </w:p>
    <w:p w14:paraId="46BCE37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“三证合一”营业执照，非企业机构提供组织机构代码证（加盖公章）</w:t>
      </w:r>
      <w:r>
        <w:rPr>
          <w:rFonts w:hint="eastAsia" w:ascii="仿宋_GB2312" w:hAnsi="仿宋_GB2312" w:eastAsia="仿宋_GB2312" w:cs="仿宋_GB2312"/>
          <w:bCs/>
          <w:sz w:val="32"/>
          <w:szCs w:val="32"/>
          <w:highlight w:val="none"/>
          <w:lang w:val="en-US" w:eastAsia="zh-CN"/>
        </w:rPr>
        <w:t>;</w:t>
      </w:r>
    </w:p>
    <w:p w14:paraId="0E65D76B">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中华人民共和国医疗经营许可证</w:t>
      </w:r>
      <w:r>
        <w:rPr>
          <w:rFonts w:hint="eastAsia" w:ascii="仿宋_GB2312" w:hAnsi="仿宋_GB2312" w:eastAsia="仿宋_GB2312" w:cs="仿宋_GB2312"/>
          <w:bCs/>
          <w:sz w:val="32"/>
          <w:szCs w:val="32"/>
          <w:highlight w:val="none"/>
          <w:lang w:val="en-US" w:eastAsia="zh-CN"/>
        </w:rPr>
        <w:t>;</w:t>
      </w:r>
    </w:p>
    <w:p w14:paraId="7AD31494">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3）法定代表人身份证明书及法人身份证复印件（格式自拟并加盖公章）；</w:t>
      </w:r>
    </w:p>
    <w:p w14:paraId="5DFFEA92">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4）法定代表人授权委托书及被委托人身份证复印件（格式自拟并加盖公章）；</w:t>
      </w:r>
    </w:p>
    <w:p w14:paraId="75BC300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价格文件</w:t>
      </w:r>
    </w:p>
    <w:p w14:paraId="64BE84F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格式参见本文件“第二部分 招标文件 第四章 投标文件格式 格式</w:t>
      </w:r>
      <w:r>
        <w:rPr>
          <w:rFonts w:hint="eastAsia" w:ascii="仿宋_GB2312" w:hAnsi="仿宋_GB2312" w:eastAsia="仿宋_GB2312" w:cs="仿宋_GB2312"/>
          <w:bCs/>
          <w:sz w:val="32"/>
          <w:szCs w:val="32"/>
          <w:highlight w:val="none"/>
          <w:lang w:val="en-US" w:eastAsia="zh-CN"/>
        </w:rPr>
        <w:t>6</w:t>
      </w:r>
      <w:r>
        <w:rPr>
          <w:rFonts w:hint="eastAsia" w:ascii="仿宋_GB2312" w:hAnsi="仿宋_GB2312" w:eastAsia="仿宋_GB2312" w:cs="仿宋_GB2312"/>
          <w:bCs/>
          <w:sz w:val="32"/>
          <w:szCs w:val="32"/>
          <w:highlight w:val="none"/>
        </w:rPr>
        <w:t xml:space="preserve"> 报价表”。</w:t>
      </w:r>
    </w:p>
    <w:p w14:paraId="674233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商务技术文件</w:t>
      </w:r>
    </w:p>
    <w:p w14:paraId="379F8F3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评标标准及细则内要求提供的证明文件（按本文件“第二部分 招标文件 第二章 评标程序及标准”内各评分项列示顺序排序并加盖公章）；</w:t>
      </w:r>
    </w:p>
    <w:p w14:paraId="26C94FE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2</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服务方案</w:t>
      </w:r>
    </w:p>
    <w:p w14:paraId="0863F17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服务方案应包括以下内容：</w:t>
      </w:r>
    </w:p>
    <w:p w14:paraId="484E0C8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A.与报价表列示各体检项目内容一致的体检项目清单，格式参见本文件“第二部分 招标文件 第四章 投标文件格式 格式</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 xml:space="preserve"> 体检套餐及项目清单”，各投标人在基准项目要求上另行增加体检项目或随附服务的，应予单独列示并说明；</w:t>
      </w:r>
    </w:p>
    <w:p w14:paraId="48F88BF0">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B.除招标文件要求外，投标人另行承诺的随附服务（投标人对本项目招标的响应视同为投标人对本项目所有服务需求的响应，无需在方案中重复体现）；</w:t>
      </w:r>
    </w:p>
    <w:p w14:paraId="0B140FC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C.服务有效期；</w:t>
      </w:r>
    </w:p>
    <w:p w14:paraId="0387FA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D.其他投标人认为需要说明的事项；</w:t>
      </w:r>
    </w:p>
    <w:p w14:paraId="4D63158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3</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商务技术要求响应清单</w:t>
      </w:r>
    </w:p>
    <w:p w14:paraId="7BB9D60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A.业绩证明</w:t>
      </w:r>
    </w:p>
    <w:p w14:paraId="6FA5F58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格式参见本文件“第二部分 招标文件 第四章 投标文件格式 格式</w:t>
      </w:r>
      <w:r>
        <w:rPr>
          <w:rFonts w:hint="eastAsia" w:ascii="仿宋_GB2312" w:hAnsi="仿宋_GB2312" w:eastAsia="仿宋_GB2312" w:cs="仿宋_GB2312"/>
          <w:bCs/>
          <w:sz w:val="32"/>
          <w:szCs w:val="32"/>
          <w:highlight w:val="none"/>
          <w:lang w:val="en-US" w:eastAsia="zh-CN"/>
        </w:rPr>
        <w:t>3</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业绩证明</w:t>
      </w:r>
      <w:r>
        <w:rPr>
          <w:rFonts w:hint="eastAsia" w:ascii="仿宋_GB2312" w:hAnsi="仿宋_GB2312" w:eastAsia="仿宋_GB2312" w:cs="仿宋_GB2312"/>
          <w:bCs/>
          <w:sz w:val="32"/>
          <w:szCs w:val="32"/>
          <w:highlight w:val="none"/>
        </w:rPr>
        <w:t>”。</w:t>
      </w:r>
    </w:p>
    <w:p w14:paraId="3A0F884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B.</w:t>
      </w:r>
      <w:r>
        <w:rPr>
          <w:rFonts w:hint="eastAsia" w:ascii="仿宋_GB2312" w:hAnsi="仿宋_GB2312" w:eastAsia="仿宋_GB2312" w:cs="仿宋_GB2312"/>
          <w:bCs/>
          <w:sz w:val="32"/>
          <w:szCs w:val="32"/>
          <w:highlight w:val="none"/>
        </w:rPr>
        <w:t>投标人应制作与服务方案一致，按照本文件“第二部分 招标文件 第四章 投标文件格式 格式</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 xml:space="preserve"> 商务技术要求响应清单”模板填列的商务技术要素响应情况，注明相关商务技术要求响应的服务承诺及投标文件对应页数。</w:t>
      </w:r>
    </w:p>
    <w:p w14:paraId="7E6A236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4）廉洁</w:t>
      </w:r>
      <w:r>
        <w:rPr>
          <w:rFonts w:hint="eastAsia" w:ascii="仿宋_GB2312" w:hAnsi="仿宋_GB2312" w:eastAsia="仿宋_GB2312" w:cs="仿宋_GB2312"/>
          <w:bCs/>
          <w:sz w:val="32"/>
          <w:szCs w:val="32"/>
          <w:highlight w:val="none"/>
        </w:rPr>
        <w:t>承诺函</w:t>
      </w:r>
    </w:p>
    <w:p w14:paraId="3702C0DC">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承诺函格式参见本文件“第二部分 招标文件 第四章 投标文件格式 格式</w:t>
      </w:r>
      <w:r>
        <w:rPr>
          <w:rFonts w:hint="eastAsia" w:ascii="仿宋_GB2312" w:hAnsi="仿宋_GB2312" w:eastAsia="仿宋_GB2312" w:cs="仿宋_GB2312"/>
          <w:bCs/>
          <w:sz w:val="32"/>
          <w:szCs w:val="32"/>
          <w:highlight w:val="none"/>
          <w:lang w:val="en-US" w:eastAsia="zh-CN"/>
        </w:rPr>
        <w:t>7</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廉洁</w:t>
      </w:r>
      <w:r>
        <w:rPr>
          <w:rFonts w:hint="eastAsia" w:ascii="仿宋_GB2312" w:hAnsi="仿宋_GB2312" w:eastAsia="仿宋_GB2312" w:cs="仿宋_GB2312"/>
          <w:bCs/>
          <w:sz w:val="32"/>
          <w:szCs w:val="32"/>
          <w:highlight w:val="none"/>
        </w:rPr>
        <w:t>承诺函”。</w:t>
      </w:r>
    </w:p>
    <w:p w14:paraId="7A788CB4">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4）服务保价</w:t>
      </w:r>
      <w:r>
        <w:rPr>
          <w:rFonts w:hint="eastAsia" w:ascii="仿宋_GB2312" w:hAnsi="仿宋_GB2312" w:eastAsia="仿宋_GB2312" w:cs="仿宋_GB2312"/>
          <w:bCs/>
          <w:sz w:val="32"/>
          <w:szCs w:val="32"/>
          <w:highlight w:val="none"/>
        </w:rPr>
        <w:t>承诺函</w:t>
      </w:r>
    </w:p>
    <w:p w14:paraId="443DA5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承诺函格式参见本文件“第二部分 招标文件 第四章 投标文件格式 格式</w:t>
      </w:r>
      <w:r>
        <w:rPr>
          <w:rFonts w:hint="eastAsia" w:ascii="仿宋_GB2312" w:hAnsi="仿宋_GB2312" w:eastAsia="仿宋_GB2312" w:cs="仿宋_GB2312"/>
          <w:bCs/>
          <w:sz w:val="32"/>
          <w:szCs w:val="32"/>
          <w:highlight w:val="none"/>
          <w:lang w:val="en-US" w:eastAsia="zh-CN"/>
        </w:rPr>
        <w:t>8</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服务保价承诺</w:t>
      </w:r>
      <w:r>
        <w:rPr>
          <w:rFonts w:hint="eastAsia" w:ascii="仿宋_GB2312" w:hAnsi="仿宋_GB2312" w:eastAsia="仿宋_GB2312" w:cs="仿宋_GB2312"/>
          <w:bCs/>
          <w:sz w:val="32"/>
          <w:szCs w:val="32"/>
          <w:highlight w:val="none"/>
        </w:rPr>
        <w:t>函”。</w:t>
      </w:r>
    </w:p>
    <w:p w14:paraId="55DA8533">
      <w:pPr>
        <w:keepNext w:val="0"/>
        <w:keepLines w:val="0"/>
        <w:pageBreakBefore w:val="0"/>
        <w:widowControl w:val="0"/>
        <w:numPr>
          <w:ilvl w:val="0"/>
          <w:numId w:val="5"/>
        </w:numPr>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rPr>
        <w:t>投标文件标注及封装</w:t>
      </w:r>
    </w:p>
    <w:p w14:paraId="7FB4501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投标人应将投标文件严格按以下要求进行标注、封装，并就封装做出清晰标注：</w:t>
      </w:r>
    </w:p>
    <w:p w14:paraId="7133091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1.开标一览表单独用唱标信封封装；</w:t>
      </w:r>
    </w:p>
    <w:p w14:paraId="02D27C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2.</w:t>
      </w:r>
      <w:r>
        <w:rPr>
          <w:rFonts w:hint="eastAsia" w:ascii="仿宋_GB2312" w:hAnsi="仿宋_GB2312" w:eastAsia="仿宋_GB2312" w:cs="仿宋_GB2312"/>
          <w:b w:val="0"/>
          <w:bCs/>
          <w:sz w:val="32"/>
          <w:szCs w:val="32"/>
          <w:highlight w:val="none"/>
          <w:lang w:val="en-US" w:eastAsia="zh-CN"/>
        </w:rPr>
        <w:t>编制具有目录页的</w:t>
      </w:r>
      <w:r>
        <w:rPr>
          <w:rFonts w:hint="eastAsia" w:ascii="仿宋_GB2312" w:hAnsi="仿宋_GB2312" w:eastAsia="仿宋_GB2312" w:cs="仿宋_GB2312"/>
          <w:b w:val="0"/>
          <w:bCs/>
          <w:sz w:val="32"/>
          <w:szCs w:val="32"/>
          <w:highlight w:val="none"/>
        </w:rPr>
        <w:t>投标文件</w:t>
      </w:r>
      <w:r>
        <w:rPr>
          <w:rFonts w:hint="eastAsia" w:ascii="仿宋_GB2312" w:hAnsi="仿宋_GB2312" w:eastAsia="仿宋_GB2312" w:cs="仿宋_GB2312"/>
          <w:b w:val="0"/>
          <w:bCs/>
          <w:sz w:val="32"/>
          <w:szCs w:val="32"/>
          <w:highlight w:val="none"/>
          <w:lang w:val="en-US" w:eastAsia="zh-CN"/>
        </w:rPr>
        <w:t>装订</w:t>
      </w:r>
      <w:r>
        <w:rPr>
          <w:rFonts w:hint="eastAsia" w:ascii="仿宋_GB2312" w:hAnsi="仿宋_GB2312" w:eastAsia="仿宋_GB2312" w:cs="仿宋_GB2312"/>
          <w:b w:val="0"/>
          <w:bCs/>
          <w:sz w:val="32"/>
          <w:szCs w:val="32"/>
          <w:highlight w:val="none"/>
        </w:rPr>
        <w:t>成册，形成正本1份，正本每页均需加盖公章，并盖骑缝章；</w:t>
      </w:r>
    </w:p>
    <w:p w14:paraId="5D14598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3.正本应与和其内容一致的投标文件电子文本的U盘共同封装至一个信封内；</w:t>
      </w:r>
    </w:p>
    <w:p w14:paraId="75789CF3">
      <w:pPr>
        <w:pageBreakBefore w:val="0"/>
        <w:widowControl/>
        <w:kinsoku/>
        <w:wordWrap/>
        <w:overflowPunct/>
        <w:topLinePunct w:val="0"/>
        <w:autoSpaceDE/>
        <w:autoSpaceDN/>
        <w:bidi w:val="0"/>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4.投标文件应同时形成副本</w:t>
      </w: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份，副本可为正本的复印件，封装至一个信封内；</w:t>
      </w:r>
    </w:p>
    <w:p w14:paraId="0E15AE74">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5.正副本封面及封装信封均应注明投标项目、招标编码、投标单位全称、正/副本性质，装于一个信封内密封；</w:t>
      </w:r>
    </w:p>
    <w:p w14:paraId="4A5443D9">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6.封装信封除以上信息外，还应标注内件正/副本性质、份数，密封处加盖公章。</w:t>
      </w:r>
    </w:p>
    <w:p w14:paraId="20A0DD33">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投标人未按照招标文件要求进行排序、标注或封装导致招标人提前拆开或错误拆开投标文件造成废标的，由投标人自行承担不利后果。</w:t>
      </w:r>
    </w:p>
    <w:p w14:paraId="29D70615">
      <w:pPr>
        <w:pStyle w:val="4"/>
        <w:keepNext w:val="0"/>
        <w:keepLines w:val="0"/>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eastAsia" w:ascii="黑体" w:hAnsi="黑体" w:eastAsia="黑体" w:cs="黑体"/>
          <w:b w:val="0"/>
          <w:sz w:val="32"/>
          <w:szCs w:val="32"/>
          <w:highlight w:val="none"/>
        </w:rPr>
      </w:pPr>
      <w:bookmarkStart w:id="28" w:name="_Toc17308"/>
      <w:r>
        <w:rPr>
          <w:rFonts w:hint="eastAsia" w:ascii="黑体" w:hAnsi="黑体" w:eastAsia="黑体" w:cs="黑体"/>
          <w:b w:val="0"/>
          <w:sz w:val="32"/>
          <w:szCs w:val="32"/>
          <w:highlight w:val="none"/>
        </w:rPr>
        <w:t>七、投标人须知</w:t>
      </w:r>
      <w:bookmarkEnd w:id="28"/>
    </w:p>
    <w:p w14:paraId="43BE6F6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一）投标人已接受邀请，但做出答复后因故不能参加投标的，须在开标会议至少前2个工作日内以书面形式通知招标人。如未按本条要求通知招标人而造成招标工作受到阻碍或不良影响的，三年内不得参与招标人采购项目投标。</w:t>
      </w:r>
    </w:p>
    <w:p w14:paraId="33BDF0E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（二）投标人对招标文件有任何疑问的，可在</w:t>
      </w:r>
      <w:r>
        <w:rPr>
          <w:rFonts w:hint="eastAsia" w:ascii="仿宋_GB2312" w:hAnsi="仿宋_GB2312" w:eastAsia="仿宋_GB2312" w:cs="仿宋_GB2312"/>
          <w:bCs/>
          <w:sz w:val="32"/>
          <w:szCs w:val="32"/>
          <w:highlight w:val="none"/>
          <w:lang w:val="en-US" w:eastAsia="zh-CN"/>
        </w:rPr>
        <w:t>2024年9月27日16时</w:t>
      </w:r>
      <w:r>
        <w:rPr>
          <w:rFonts w:hint="eastAsia" w:ascii="仿宋_GB2312" w:hAnsi="仿宋_GB2312" w:eastAsia="仿宋_GB2312" w:cs="仿宋_GB2312"/>
          <w:bCs/>
          <w:sz w:val="32"/>
          <w:szCs w:val="32"/>
          <w:highlight w:val="none"/>
        </w:rPr>
        <w:t xml:space="preserve">前内向本文件“第一部分 </w:t>
      </w:r>
      <w:r>
        <w:rPr>
          <w:rFonts w:hint="eastAsia" w:ascii="仿宋_GB2312" w:hAnsi="仿宋_GB2312" w:eastAsia="仿宋_GB2312" w:cs="仿宋_GB2312"/>
          <w:bCs/>
          <w:sz w:val="32"/>
          <w:szCs w:val="32"/>
          <w:highlight w:val="none"/>
          <w:lang w:val="en-US" w:eastAsia="zh-CN"/>
        </w:rPr>
        <w:t>招标公告</w:t>
      </w: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十</w:t>
      </w:r>
      <w:r>
        <w:rPr>
          <w:rFonts w:hint="eastAsia" w:ascii="仿宋_GB2312" w:hAnsi="仿宋_GB2312" w:eastAsia="仿宋_GB2312" w:cs="仿宋_GB2312"/>
          <w:bCs/>
          <w:sz w:val="32"/>
          <w:szCs w:val="32"/>
          <w:highlight w:val="none"/>
        </w:rPr>
        <w:t>、联系方式”预留联系邮箱发送答疑请求，未在规定时间或未按指定方式提出的，视为对招标文件及程序的认可，不得再以任何理由要求修改或提出质疑。招标人将于</w:t>
      </w:r>
      <w:r>
        <w:rPr>
          <w:rFonts w:hint="eastAsia" w:ascii="仿宋_GB2312" w:hAnsi="仿宋_GB2312" w:eastAsia="仿宋_GB2312" w:cs="仿宋_GB2312"/>
          <w:bCs/>
          <w:sz w:val="32"/>
          <w:szCs w:val="32"/>
          <w:highlight w:val="none"/>
          <w:lang w:val="en-US" w:eastAsia="zh-CN"/>
        </w:rPr>
        <w:t>2024年9月29日16时</w:t>
      </w:r>
      <w:r>
        <w:rPr>
          <w:rFonts w:hint="eastAsia" w:ascii="仿宋_GB2312" w:hAnsi="仿宋_GB2312" w:eastAsia="仿宋_GB2312" w:cs="仿宋_GB2312"/>
          <w:bCs/>
          <w:sz w:val="32"/>
          <w:szCs w:val="32"/>
          <w:highlight w:val="none"/>
        </w:rPr>
        <w:t>前进行统一答疑。</w:t>
      </w:r>
    </w:p>
    <w:p w14:paraId="32463BE3">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（三）投标人</w:t>
      </w:r>
      <w:r>
        <w:rPr>
          <w:rFonts w:hint="eastAsia" w:ascii="仿宋_GB2312" w:hAnsi="仿宋_GB2312" w:eastAsia="仿宋_GB2312" w:cs="仿宋_GB2312"/>
          <w:bCs/>
          <w:sz w:val="32"/>
          <w:szCs w:val="32"/>
          <w:highlight w:val="none"/>
          <w:lang w:val="en-US" w:eastAsia="zh-CN"/>
        </w:rPr>
        <w:t>所</w:t>
      </w:r>
      <w:r>
        <w:rPr>
          <w:rFonts w:hint="eastAsia" w:ascii="仿宋_GB2312" w:hAnsi="仿宋_GB2312" w:eastAsia="仿宋_GB2312" w:cs="仿宋_GB2312"/>
          <w:bCs/>
          <w:sz w:val="32"/>
          <w:szCs w:val="32"/>
          <w:highlight w:val="none"/>
        </w:rPr>
        <w:t>递交</w:t>
      </w:r>
      <w:r>
        <w:rPr>
          <w:rFonts w:hint="eastAsia" w:ascii="仿宋_GB2312" w:hAnsi="仿宋_GB2312" w:eastAsia="仿宋_GB2312" w:cs="仿宋_GB2312"/>
          <w:bCs/>
          <w:sz w:val="32"/>
          <w:szCs w:val="32"/>
          <w:highlight w:val="none"/>
          <w:lang w:val="en-US" w:eastAsia="zh-CN"/>
        </w:rPr>
        <w:t>的投标文件需</w:t>
      </w:r>
      <w:r>
        <w:rPr>
          <w:rFonts w:hint="eastAsia" w:ascii="仿宋_GB2312" w:hAnsi="仿宋_GB2312" w:eastAsia="仿宋_GB2312" w:cs="仿宋_GB2312"/>
          <w:bCs/>
          <w:sz w:val="32"/>
          <w:szCs w:val="32"/>
          <w:highlight w:val="none"/>
        </w:rPr>
        <w:t>加盖投标公司公章，以人民币为报价单位的报价表，包括总价与福利标准的对应套餐价。投标人提出的报价应为已包括项目成本、依法应纳税金、履行服务所必要的随附工作所产生的其他费用等。</w:t>
      </w:r>
    </w:p>
    <w:p w14:paraId="75F520BC">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只允许有一个以各体检项目单价、限价标准对应套餐分项报价与对应套餐分项合计数为总价构成的报价文件，任何需要由招标人进行条件选择的非唯一报价将不予接受。</w:t>
      </w:r>
    </w:p>
    <w:p w14:paraId="6E0EA675">
      <w:pPr>
        <w:keepNext w:val="0"/>
        <w:keepLines w:val="0"/>
        <w:pageBreakBefore w:val="0"/>
        <w:widowControl w:val="0"/>
        <w:kinsoku/>
        <w:wordWrap w:val="0"/>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（四）定标完成后，招标人将在公司官网（www.plhr.cn）</w:t>
      </w:r>
      <w:r>
        <w:rPr>
          <w:rFonts w:hint="eastAsia" w:ascii="仿宋_GB2312" w:hAnsi="仿宋_GB2312" w:eastAsia="仿宋_GB2312" w:cs="仿宋_GB2312"/>
          <w:bCs/>
          <w:sz w:val="32"/>
          <w:szCs w:val="32"/>
          <w:highlight w:val="none"/>
          <w:lang w:val="en-US" w:eastAsia="zh-CN"/>
        </w:rPr>
        <w:t>及深圳阳光采购平台</w:t>
      </w:r>
      <w:r>
        <w:rPr>
          <w:rFonts w:hint="eastAsia" w:ascii="仿宋_GB2312" w:hAnsi="仿宋_GB2312" w:eastAsia="仿宋_GB2312" w:cs="仿宋_GB2312"/>
          <w:bCs/>
          <w:sz w:val="32"/>
          <w:szCs w:val="32"/>
          <w:highlight w:val="none"/>
        </w:rPr>
        <w:t>发布预中标结果公示，公示期为3个</w:t>
      </w:r>
      <w:r>
        <w:rPr>
          <w:rFonts w:hint="eastAsia" w:ascii="仿宋_GB2312" w:hAnsi="仿宋_GB2312" w:eastAsia="仿宋_GB2312" w:cs="仿宋_GB2312"/>
          <w:bCs/>
          <w:sz w:val="32"/>
          <w:szCs w:val="32"/>
          <w:highlight w:val="none"/>
          <w:lang w:val="en-US" w:eastAsia="zh-CN"/>
        </w:rPr>
        <w:t>工作</w:t>
      </w:r>
      <w:r>
        <w:rPr>
          <w:rFonts w:hint="eastAsia" w:ascii="仿宋_GB2312" w:hAnsi="仿宋_GB2312" w:eastAsia="仿宋_GB2312" w:cs="仿宋_GB2312"/>
          <w:bCs/>
          <w:sz w:val="32"/>
          <w:szCs w:val="32"/>
          <w:highlight w:val="none"/>
        </w:rPr>
        <w:t>日。公示期结束无异议的，向中标人发放《中标通知书》。公示期内如有质疑，需书面实名向招标人提出并提交随附证据。招标人对电子邮件、口头形式提出或无实际证据的质疑不予受理。经招标人审定存在恶意质疑或投诉的，三年内不得参与招标人项目招标。</w:t>
      </w:r>
    </w:p>
    <w:p w14:paraId="59FA4526">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五）若接受邀请、递交投标文件或投标文件符合性审查阶段中任一阶段的有效投标人数量不足3家，招标人有权根据经营管理需要面向不特定社会公众实施公开招标，如二次招标有效投标人仍不足3家的，招标人将根据经营管理需要变更采购方式为竞争性谈判。前述各阶段已经作出有效响应的投标文件可以直接适用于竞争性谈判。</w:t>
      </w:r>
    </w:p>
    <w:p w14:paraId="14DDECC2">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招标人不承担因招标失败给投标人造成的损失。</w:t>
      </w:r>
    </w:p>
    <w:p w14:paraId="1D4B0086">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（六）本项目采用综合评标法，招标人不承诺投标价格最低的投标人中标。</w:t>
      </w:r>
    </w:p>
    <w:p w14:paraId="6F16D316">
      <w:pPr>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（七）中标方应在接到招标人电话通知后3个工作日内到招标人地址领取中标通知书，若逾期未领取的，视为自动放弃中标资格，项目重新招标，自动放弃的投标方不得再次参加本项目投标。</w:t>
      </w:r>
    </w:p>
    <w:p w14:paraId="07569807">
      <w:pPr>
        <w:pageBreakBefore w:val="0"/>
        <w:widowControl w:val="0"/>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（八）本项目不设置投标保证金及履约保证金，但招标人可以根据实际经营管理需要在定标完成后就合同条款、补充协议的订立与中标人进行协商以获得更有利于招标人经营管理的服务或价格。</w:t>
      </w:r>
    </w:p>
    <w:p w14:paraId="324352ED">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（九）投标人必须接受招标人对本项目的全部招标、谈判方法。招标人对投标人未中标的结果不负有解释义务，不退还投标文件，且不承担投标方因投标产生的任何费用或损失。</w:t>
      </w:r>
    </w:p>
    <w:p w14:paraId="464451ED">
      <w:pPr>
        <w:pageBreakBefore w:val="0"/>
        <w:widowControl/>
        <w:kinsoku/>
        <w:wordWrap/>
        <w:overflowPunct/>
        <w:topLinePunct w:val="0"/>
        <w:autoSpaceDE/>
        <w:autoSpaceDN/>
        <w:bidi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（十）投标人有义务在整个招标工作开展期间自行留意招标人官方网站（www.plhr.cn）发布的公告通知，所有在该网站发布的公告、通知均视为有效送达。因投标人疏于浏览而导致的不利后果由投标人自行承担。</w:t>
      </w:r>
    </w:p>
    <w:p w14:paraId="672A33CD">
      <w:pPr>
        <w:pStyle w:val="4"/>
        <w:pageBreakBefore w:val="0"/>
        <w:widowControl w:val="0"/>
        <w:kinsoku/>
        <w:wordWrap/>
        <w:overflowPunct/>
        <w:topLinePunct w:val="0"/>
        <w:autoSpaceDE/>
        <w:autoSpaceDN/>
        <w:bidi w:val="0"/>
        <w:adjustRightInd/>
        <w:spacing w:before="0" w:after="0" w:line="560" w:lineRule="exact"/>
        <w:ind w:firstLine="640" w:firstLineChars="200"/>
        <w:textAlignment w:val="auto"/>
        <w:rPr>
          <w:rFonts w:hint="eastAsia" w:ascii="黑体" w:hAnsi="黑体" w:eastAsia="黑体" w:cs="黑体"/>
          <w:b w:val="0"/>
          <w:sz w:val="32"/>
          <w:szCs w:val="32"/>
          <w:highlight w:val="none"/>
        </w:rPr>
      </w:pPr>
      <w:bookmarkStart w:id="29" w:name="_Toc26871"/>
      <w:r>
        <w:rPr>
          <w:rFonts w:hint="eastAsia" w:ascii="黑体" w:hAnsi="黑体" w:eastAsia="黑体" w:cs="黑体"/>
          <w:b w:val="0"/>
          <w:sz w:val="32"/>
          <w:szCs w:val="32"/>
          <w:highlight w:val="none"/>
        </w:rPr>
        <w:t>八、投标文件作废</w:t>
      </w:r>
      <w:bookmarkEnd w:id="29"/>
    </w:p>
    <w:p w14:paraId="73E343D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投标人在投标过程中存在以下任一行为的，投标文件作废，取消投标资格：</w:t>
      </w:r>
    </w:p>
    <w:p w14:paraId="213F92B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未按照投标邀请函示要求提交答复函、报名表及随附材料；</w:t>
      </w:r>
    </w:p>
    <w:p w14:paraId="6686BB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投标人在投标、评标、定标期间存在企图影响招标结果、泄密、违反《</w:t>
      </w:r>
      <w:r>
        <w:rPr>
          <w:rFonts w:hint="eastAsia" w:ascii="仿宋_GB2312" w:hAnsi="仿宋_GB2312" w:eastAsia="仿宋_GB2312" w:cs="仿宋_GB2312"/>
          <w:bCs/>
          <w:sz w:val="32"/>
          <w:szCs w:val="32"/>
          <w:highlight w:val="none"/>
          <w:lang w:val="en-US" w:eastAsia="zh-CN"/>
        </w:rPr>
        <w:t>廉洁</w:t>
      </w:r>
      <w:r>
        <w:rPr>
          <w:rFonts w:hint="eastAsia" w:ascii="仿宋_GB2312" w:hAnsi="仿宋_GB2312" w:eastAsia="仿宋_GB2312" w:cs="仿宋_GB2312"/>
          <w:bCs/>
          <w:sz w:val="32"/>
          <w:szCs w:val="32"/>
          <w:highlight w:val="none"/>
        </w:rPr>
        <w:t>承诺函》函示内容等不公平竞争行为；</w:t>
      </w:r>
    </w:p>
    <w:p w14:paraId="5104D0B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未按照招标文件要求制作投标文件；</w:t>
      </w:r>
    </w:p>
    <w:p w14:paraId="738D73C7">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未经招标方同意擅自改动招标文件内容；</w:t>
      </w:r>
    </w:p>
    <w:p w14:paraId="728A7E78">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投标文件递交超过截止时限或未能递交投标文件；</w:t>
      </w:r>
    </w:p>
    <w:p w14:paraId="47817CA1">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六</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在邀请投标及后续谈判的任意环节中提供虚假材料及信息；</w:t>
      </w:r>
    </w:p>
    <w:p w14:paraId="024C1996">
      <w:pPr>
        <w:pageBreakBefore w:val="0"/>
        <w:widowControl w:val="0"/>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七</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本文件中规定的其它按废标处理的情形。</w:t>
      </w:r>
    </w:p>
    <w:p w14:paraId="7F14A561">
      <w:pPr>
        <w:pStyle w:val="4"/>
        <w:keepNext w:val="0"/>
        <w:keepLines w:val="0"/>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sz w:val="32"/>
          <w:szCs w:val="32"/>
          <w:highlight w:val="none"/>
        </w:rPr>
      </w:pPr>
      <w:bookmarkStart w:id="30" w:name="_Toc22797"/>
      <w:r>
        <w:rPr>
          <w:rFonts w:hint="eastAsia" w:ascii="黑体" w:hAnsi="黑体" w:eastAsia="黑体" w:cs="黑体"/>
          <w:b w:val="0"/>
          <w:sz w:val="32"/>
          <w:szCs w:val="32"/>
          <w:highlight w:val="none"/>
        </w:rPr>
        <w:t>九、其他要求</w:t>
      </w:r>
      <w:bookmarkEnd w:id="30"/>
    </w:p>
    <w:p w14:paraId="325EF8E8">
      <w:pPr>
        <w:pageBreakBefore w:val="0"/>
        <w:widowControl w:val="0"/>
        <w:kinsoku/>
        <w:wordWrap/>
        <w:overflowPunct/>
        <w:topLinePunct w:val="0"/>
        <w:autoSpaceDE/>
        <w:autoSpaceDN/>
        <w:bidi w:val="0"/>
        <w:snapToGrid w:val="0"/>
        <w:spacing w:line="560" w:lineRule="exact"/>
        <w:ind w:left="0"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投标人应逐项阅读招标文件的全部要求，根据投标人真实情况以审慎、诚信原则提交投标文件。如投标人编制的投标文件不能响应和满足招标文件及项目要求，该投标文件将被视为无效，由此引起的不利后果由投标人自行承担；</w:t>
      </w:r>
    </w:p>
    <w:p w14:paraId="34FB306E">
      <w:pPr>
        <w:pageBreakBefore w:val="0"/>
        <w:widowControl w:val="0"/>
        <w:kinsoku/>
        <w:wordWrap/>
        <w:overflowPunct/>
        <w:topLinePunct w:val="0"/>
        <w:autoSpaceDE/>
        <w:autoSpaceDN/>
        <w:bidi w:val="0"/>
        <w:snapToGrid w:val="0"/>
        <w:spacing w:line="560" w:lineRule="exact"/>
        <w:ind w:left="0"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对恶意投标、中标后不能按照本招标文件“第二部分 招标文件 第三章 合同条款”要求的服务标准提供服务者，招标人有权即时停止履行合同，同时取消投标人供应商资格。对招标人造成实际经济或商誉损失的，招标人保留起诉、索赔等正当权利。</w:t>
      </w:r>
    </w:p>
    <w:p w14:paraId="1B2BBF95">
      <w:pPr>
        <w:pageBreakBefore w:val="0"/>
        <w:widowControl/>
        <w:kinsoku/>
        <w:wordWrap/>
        <w:overflowPunct/>
        <w:topLinePunct w:val="0"/>
        <w:autoSpaceDE/>
        <w:autoSpaceDN/>
        <w:bidi w:val="0"/>
        <w:snapToGrid w:val="0"/>
        <w:spacing w:line="560" w:lineRule="exact"/>
        <w:ind w:left="0"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rPr>
        <w:t>不论投标结果如何，投标人的投标文件均不退回，且不对未中标单位作任何解释。投标人因投标产生的一切费用不管投标结果如何，均由投标人承担。</w:t>
      </w:r>
    </w:p>
    <w:p w14:paraId="17B7E18A">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rPr>
        <w:t>投标人不得相互串通投标报价，不得排挤其他投标人的公平竞争。一经发现违规行为，招标人有权立即终止采购活动并取消违反规定的投标人资格。</w:t>
      </w:r>
    </w:p>
    <w:p w14:paraId="277C8C2D">
      <w:pPr>
        <w:pStyle w:val="4"/>
        <w:keepNext w:val="0"/>
        <w:keepLines w:val="0"/>
        <w:pageBreakBefore w:val="0"/>
        <w:widowControl w:val="0"/>
        <w:kinsoku/>
        <w:wordWrap/>
        <w:overflowPunct/>
        <w:topLinePunct w:val="0"/>
        <w:autoSpaceDE/>
        <w:autoSpaceDN/>
        <w:bidi w:val="0"/>
        <w:adjustRightInd/>
        <w:spacing w:before="0" w:after="0" w:line="560" w:lineRule="exact"/>
        <w:ind w:left="0" w:firstLine="640" w:firstLineChars="200"/>
        <w:textAlignment w:val="auto"/>
        <w:rPr>
          <w:rFonts w:hint="eastAsia" w:ascii="黑体" w:hAnsi="黑体" w:eastAsia="黑体" w:cs="黑体"/>
          <w:b w:val="0"/>
          <w:sz w:val="32"/>
          <w:szCs w:val="32"/>
          <w:highlight w:val="none"/>
        </w:rPr>
      </w:pPr>
      <w:bookmarkStart w:id="31" w:name="_Toc20810"/>
      <w:r>
        <w:rPr>
          <w:rFonts w:hint="eastAsia" w:ascii="黑体" w:hAnsi="黑体" w:eastAsia="黑体" w:cs="黑体"/>
          <w:b w:val="0"/>
          <w:sz w:val="32"/>
          <w:szCs w:val="32"/>
          <w:highlight w:val="none"/>
        </w:rPr>
        <w:t>十、投标文件递交</w:t>
      </w:r>
      <w:bookmarkEnd w:id="31"/>
    </w:p>
    <w:p w14:paraId="4A50906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w:t>
      </w:r>
      <w:r>
        <w:rPr>
          <w:rFonts w:hint="eastAsia" w:ascii="楷体_GB2312" w:hAnsi="楷体_GB2312" w:eastAsia="楷体_GB2312" w:cs="楷体_GB2312"/>
          <w:b w:val="0"/>
          <w:bCs/>
          <w:sz w:val="32"/>
          <w:szCs w:val="32"/>
          <w:highlight w:val="none"/>
          <w:lang w:eastAsia="zh-CN"/>
        </w:rPr>
        <w:t>递交方式</w:t>
      </w:r>
    </w:p>
    <w:p w14:paraId="496D359D">
      <w:pPr>
        <w:keepNext w:val="0"/>
        <w:keepLines w:val="0"/>
        <w:pageBreakBefore w:val="0"/>
        <w:widowControl/>
        <w:kinsoku/>
        <w:wordWrap/>
        <w:overflowPunct/>
        <w:topLinePunct w:val="0"/>
        <w:autoSpaceDE/>
        <w:autoSpaceDN/>
        <w:bidi w:val="0"/>
        <w:adjustRightInd/>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现场递交</w:t>
      </w:r>
    </w:p>
    <w:p w14:paraId="48D23BF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val="en-US"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递交</w:t>
      </w:r>
      <w:r>
        <w:rPr>
          <w:rFonts w:hint="eastAsia" w:ascii="楷体_GB2312" w:hAnsi="楷体_GB2312" w:eastAsia="楷体_GB2312" w:cs="楷体_GB2312"/>
          <w:b w:val="0"/>
          <w:bCs/>
          <w:sz w:val="32"/>
          <w:szCs w:val="32"/>
          <w:highlight w:val="none"/>
          <w:lang w:val="en-US" w:eastAsia="zh-CN"/>
        </w:rPr>
        <w:t>截止时间</w:t>
      </w:r>
    </w:p>
    <w:p w14:paraId="0867A86D">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kern w:val="0"/>
          <w:sz w:val="32"/>
          <w:szCs w:val="32"/>
          <w:highlight w:val="none"/>
          <w:lang w:val="en-US" w:eastAsia="zh-CN" w:bidi="ar-SA"/>
        </w:rPr>
        <w:t>2024年10月09日14时</w:t>
      </w:r>
    </w:p>
    <w:p w14:paraId="7C9E892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三）</w:t>
      </w:r>
      <w:r>
        <w:rPr>
          <w:rFonts w:hint="eastAsia" w:ascii="楷体_GB2312" w:hAnsi="楷体_GB2312" w:eastAsia="楷体_GB2312" w:cs="楷体_GB2312"/>
          <w:b w:val="0"/>
          <w:bCs/>
          <w:sz w:val="32"/>
          <w:szCs w:val="32"/>
          <w:highlight w:val="none"/>
          <w:lang w:eastAsia="zh-CN"/>
        </w:rPr>
        <w:t>递交地址</w:t>
      </w:r>
    </w:p>
    <w:p w14:paraId="4A27301F">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highlight w:val="none"/>
          <w:lang w:eastAsia="zh-CN"/>
        </w:rPr>
      </w:pPr>
      <w:r>
        <w:rPr>
          <w:rFonts w:hint="eastAsia" w:ascii="仿宋_GB2312" w:hAnsi="仿宋_GB2312" w:eastAsia="仿宋_GB2312" w:cs="仿宋_GB2312"/>
          <w:b w:val="0"/>
          <w:bCs/>
          <w:sz w:val="32"/>
          <w:szCs w:val="32"/>
          <w:highlight w:val="none"/>
          <w:lang w:eastAsia="zh-CN"/>
        </w:rPr>
        <w:t>深圳市罗湖区笋岗街道田心社区红岭北路2088号招商开元中心A座13层（中国人保金融大厦</w:t>
      </w:r>
      <w:r>
        <w:rPr>
          <w:rFonts w:hint="eastAsia" w:ascii="仿宋_GB2312" w:hAnsi="仿宋_GB2312" w:eastAsia="仿宋_GB2312" w:cs="仿宋_GB2312"/>
          <w:b w:val="0"/>
          <w:bCs/>
          <w:sz w:val="32"/>
          <w:szCs w:val="32"/>
          <w:highlight w:val="none"/>
          <w:lang w:val="en-US" w:eastAsia="zh-CN"/>
        </w:rPr>
        <w:t>A座</w:t>
      </w:r>
      <w:r>
        <w:rPr>
          <w:rFonts w:hint="eastAsia" w:ascii="仿宋_GB2312" w:hAnsi="仿宋_GB2312" w:eastAsia="仿宋_GB2312" w:cs="仿宋_GB2312"/>
          <w:b w:val="0"/>
          <w:bCs/>
          <w:sz w:val="32"/>
          <w:szCs w:val="32"/>
          <w:highlight w:val="none"/>
          <w:lang w:eastAsia="zh-CN"/>
        </w:rPr>
        <w:t>13</w:t>
      </w:r>
      <w:r>
        <w:rPr>
          <w:rFonts w:hint="eastAsia" w:ascii="仿宋_GB2312" w:hAnsi="仿宋_GB2312" w:eastAsia="仿宋_GB2312" w:cs="仿宋_GB2312"/>
          <w:b w:val="0"/>
          <w:bCs/>
          <w:sz w:val="32"/>
          <w:szCs w:val="32"/>
          <w:highlight w:val="none"/>
          <w:lang w:val="en-US" w:eastAsia="zh-CN"/>
        </w:rPr>
        <w:t>层）深圳市鹏劳人力资源管理有限公司</w:t>
      </w:r>
    </w:p>
    <w:p w14:paraId="593CD36A">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四）</w:t>
      </w:r>
      <w:r>
        <w:rPr>
          <w:rFonts w:hint="eastAsia" w:ascii="楷体_GB2312" w:hAnsi="楷体_GB2312" w:eastAsia="楷体_GB2312" w:cs="楷体_GB2312"/>
          <w:b w:val="0"/>
          <w:bCs/>
          <w:sz w:val="32"/>
          <w:szCs w:val="32"/>
          <w:highlight w:val="none"/>
          <w:lang w:eastAsia="zh-CN"/>
        </w:rPr>
        <w:t>递交要求</w:t>
      </w:r>
    </w:p>
    <w:p w14:paraId="314E1109">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所有投标文件由投标人按照招标文件指定格式与方式逐一进场递交。</w:t>
      </w:r>
    </w:p>
    <w:p w14:paraId="0FB38D26">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2" w:name="_Toc4297"/>
      <w:bookmarkStart w:id="33" w:name="_Toc5188"/>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一</w:t>
      </w:r>
      <w:r>
        <w:rPr>
          <w:rFonts w:hint="eastAsia" w:ascii="黑体" w:hAnsi="黑体" w:eastAsia="黑体" w:cs="黑体"/>
          <w:b w:val="0"/>
          <w:bCs/>
          <w:sz w:val="32"/>
          <w:szCs w:val="32"/>
          <w:highlight w:val="none"/>
        </w:rPr>
        <w:t>、开标</w:t>
      </w:r>
      <w:bookmarkEnd w:id="32"/>
      <w:bookmarkEnd w:id="33"/>
    </w:p>
    <w:p w14:paraId="7B7A69F2">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w:t>
      </w: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rPr>
        <w:t>开标时间</w:t>
      </w:r>
    </w:p>
    <w:p w14:paraId="49023999">
      <w:pPr>
        <w:keepNext w:val="0"/>
        <w:keepLines w:val="0"/>
        <w:pageBreakBefore w:val="0"/>
        <w:widowControl/>
        <w:numPr>
          <w:ilvl w:val="0"/>
          <w:numId w:val="0"/>
        </w:numPr>
        <w:tabs>
          <w:tab w:val="left" w:pos="0"/>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kern w:val="0"/>
          <w:sz w:val="32"/>
          <w:szCs w:val="32"/>
          <w:highlight w:val="none"/>
          <w:lang w:val="en-US" w:eastAsia="zh-CN" w:bidi="ar-SA"/>
        </w:rPr>
        <w:t>2024年10月09日14时</w:t>
      </w:r>
      <w:r>
        <w:rPr>
          <w:rFonts w:hint="eastAsia" w:ascii="仿宋_GB2312" w:hAnsi="仿宋_GB2312" w:eastAsia="仿宋_GB2312" w:cs="仿宋_GB2312"/>
          <w:b w:val="0"/>
          <w:bCs/>
          <w:sz w:val="32"/>
          <w:szCs w:val="32"/>
          <w:highlight w:val="none"/>
          <w:lang w:val="en-US" w:eastAsia="zh-CN"/>
        </w:rPr>
        <w:t>30</w:t>
      </w:r>
      <w:r>
        <w:rPr>
          <w:rFonts w:hint="eastAsia" w:ascii="仿宋_GB2312" w:hAnsi="仿宋_GB2312" w:eastAsia="仿宋_GB2312" w:cs="仿宋_GB2312"/>
          <w:b w:val="0"/>
          <w:bCs/>
          <w:sz w:val="32"/>
          <w:szCs w:val="32"/>
          <w:highlight w:val="none"/>
        </w:rPr>
        <w:t>分</w:t>
      </w:r>
    </w:p>
    <w:p w14:paraId="7479C3E3">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开标方式</w:t>
      </w:r>
    </w:p>
    <w:p w14:paraId="069DB9E3">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现场开标</w:t>
      </w:r>
    </w:p>
    <w:p w14:paraId="26E2B1A7">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三）</w:t>
      </w:r>
      <w:r>
        <w:rPr>
          <w:rFonts w:hint="eastAsia" w:ascii="楷体_GB2312" w:hAnsi="楷体_GB2312" w:eastAsia="楷体_GB2312" w:cs="楷体_GB2312"/>
          <w:b w:val="0"/>
          <w:bCs/>
          <w:sz w:val="32"/>
          <w:szCs w:val="32"/>
          <w:highlight w:val="none"/>
          <w:lang w:eastAsia="zh-CN"/>
        </w:rPr>
        <w:t>开标地点</w:t>
      </w:r>
    </w:p>
    <w:p w14:paraId="6FF0C2AF">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深圳市罗湖区笋岗街道田心社区红岭北路2088号招商开元中心A座13层</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中国人保金融大厦</w:t>
      </w:r>
      <w:r>
        <w:rPr>
          <w:rFonts w:hint="eastAsia" w:ascii="仿宋_GB2312" w:hAnsi="仿宋_GB2312" w:eastAsia="仿宋_GB2312" w:cs="仿宋_GB2312"/>
          <w:bCs/>
          <w:sz w:val="32"/>
          <w:szCs w:val="32"/>
          <w:highlight w:val="none"/>
          <w:lang w:val="en-US" w:eastAsia="zh-CN"/>
        </w:rPr>
        <w:t>A座</w:t>
      </w:r>
      <w:r>
        <w:rPr>
          <w:rFonts w:hint="eastAsia" w:ascii="仿宋_GB2312" w:hAnsi="仿宋_GB2312" w:eastAsia="仿宋_GB2312" w:cs="仿宋_GB2312"/>
          <w:bCs/>
          <w:sz w:val="32"/>
          <w:szCs w:val="32"/>
          <w:highlight w:val="none"/>
        </w:rPr>
        <w:t>13</w:t>
      </w:r>
      <w:r>
        <w:rPr>
          <w:rFonts w:hint="eastAsia" w:ascii="仿宋_GB2312" w:hAnsi="仿宋_GB2312" w:eastAsia="仿宋_GB2312" w:cs="仿宋_GB2312"/>
          <w:bCs/>
          <w:sz w:val="32"/>
          <w:szCs w:val="32"/>
          <w:highlight w:val="none"/>
          <w:lang w:val="en-US" w:eastAsia="zh-CN"/>
        </w:rPr>
        <w:t>层）深圳市鹏劳人力资源管理有限公司</w:t>
      </w:r>
    </w:p>
    <w:p w14:paraId="6C4E15A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四）</w:t>
      </w:r>
      <w:r>
        <w:rPr>
          <w:rFonts w:hint="eastAsia" w:ascii="楷体_GB2312" w:hAnsi="楷体_GB2312" w:eastAsia="楷体_GB2312" w:cs="楷体_GB2312"/>
          <w:b w:val="0"/>
          <w:bCs/>
          <w:sz w:val="32"/>
          <w:szCs w:val="32"/>
          <w:highlight w:val="none"/>
          <w:lang w:eastAsia="zh-CN"/>
        </w:rPr>
        <w:t>开标程序</w:t>
      </w:r>
    </w:p>
    <w:p w14:paraId="04FE77E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招标人工作组进场；</w:t>
      </w:r>
    </w:p>
    <w:p w14:paraId="7E2F9C15">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招标人监督员、投标人代表检查投标文件密封情况并向工作组组长通报加密情况；</w:t>
      </w:r>
    </w:p>
    <w:p w14:paraId="5C00C1E0">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招标人工作组组长宣布开标；</w:t>
      </w:r>
    </w:p>
    <w:p w14:paraId="22E36383">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4.</w:t>
      </w:r>
      <w:r>
        <w:rPr>
          <w:rFonts w:hint="eastAsia" w:ascii="仿宋_GB2312" w:hAnsi="仿宋_GB2312" w:eastAsia="仿宋_GB2312" w:cs="仿宋_GB2312"/>
          <w:b w:val="0"/>
          <w:bCs/>
          <w:sz w:val="32"/>
          <w:szCs w:val="32"/>
          <w:highlight w:val="none"/>
        </w:rPr>
        <w:t>招标人工作组成员逐一拆开唱标信封，现场唱标并形成《开标记录表》；</w:t>
      </w:r>
    </w:p>
    <w:p w14:paraId="0AF51D77">
      <w:pPr>
        <w:pStyle w:val="8"/>
        <w:keepNext w:val="0"/>
        <w:keepLines w:val="0"/>
        <w:pageBreakBefore w:val="0"/>
        <w:widowControl w:val="0"/>
        <w:tabs>
          <w:tab w:val="left" w:pos="7740"/>
        </w:tabs>
        <w:kinsoku/>
        <w:wordWrap w:val="0"/>
        <w:overflowPunct/>
        <w:topLinePunct/>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5.</w:t>
      </w:r>
      <w:r>
        <w:rPr>
          <w:rFonts w:hint="eastAsia" w:ascii="仿宋_GB2312" w:hAnsi="仿宋_GB2312" w:eastAsia="仿宋_GB2312" w:cs="仿宋_GB2312"/>
          <w:b w:val="0"/>
          <w:bCs/>
          <w:sz w:val="32"/>
          <w:szCs w:val="32"/>
          <w:highlight w:val="none"/>
        </w:rPr>
        <w:t>投标人代表确认开标记录，签字确认并离场。</w:t>
      </w:r>
    </w:p>
    <w:p w14:paraId="48871728">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五）</w:t>
      </w:r>
      <w:r>
        <w:rPr>
          <w:rFonts w:hint="eastAsia" w:ascii="楷体_GB2312" w:hAnsi="楷体_GB2312" w:eastAsia="楷体_GB2312" w:cs="楷体_GB2312"/>
          <w:b w:val="0"/>
          <w:bCs/>
          <w:sz w:val="32"/>
          <w:szCs w:val="32"/>
          <w:highlight w:val="none"/>
          <w:lang w:eastAsia="zh-CN"/>
        </w:rPr>
        <w:t>注意事项</w:t>
      </w:r>
    </w:p>
    <w:p w14:paraId="0D7ECA03">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1.</w:t>
      </w:r>
      <w:r>
        <w:rPr>
          <w:rFonts w:hint="eastAsia" w:ascii="仿宋_GB2312" w:hAnsi="仿宋_GB2312" w:eastAsia="仿宋_GB2312" w:cs="仿宋_GB2312"/>
          <w:b w:val="0"/>
          <w:bCs/>
          <w:sz w:val="32"/>
          <w:szCs w:val="32"/>
          <w:highlight w:val="none"/>
        </w:rPr>
        <w:t>开标全程由投标人代表、招标人派员监督；</w:t>
      </w:r>
    </w:p>
    <w:p w14:paraId="67BE76D8">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2.</w:t>
      </w:r>
      <w:r>
        <w:rPr>
          <w:rFonts w:hint="eastAsia" w:ascii="仿宋_GB2312" w:hAnsi="仿宋_GB2312" w:eastAsia="仿宋_GB2312" w:cs="仿宋_GB2312"/>
          <w:b w:val="0"/>
          <w:bCs/>
          <w:sz w:val="32"/>
          <w:szCs w:val="32"/>
          <w:highlight w:val="none"/>
        </w:rPr>
        <w:t>开标会议全程录音录像；</w:t>
      </w:r>
    </w:p>
    <w:p w14:paraId="6BCD544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lang w:val="en-US" w:eastAsia="zh-CN"/>
        </w:rPr>
        <w:t>3.</w:t>
      </w:r>
      <w:r>
        <w:rPr>
          <w:rFonts w:hint="eastAsia" w:ascii="仿宋_GB2312" w:hAnsi="仿宋_GB2312" w:eastAsia="仿宋_GB2312" w:cs="仿宋_GB2312"/>
          <w:b w:val="0"/>
          <w:bCs/>
          <w:sz w:val="32"/>
          <w:szCs w:val="32"/>
          <w:highlight w:val="none"/>
        </w:rPr>
        <w:t>投标人代表因故未能到场，或到场后中途离场的，视同为投标人主动放弃监督权利且投标人对开标结果完全认可，投标人不得再就此提出质疑或投诉。</w:t>
      </w:r>
    </w:p>
    <w:p w14:paraId="1532C13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_GB2312" w:hAnsi="仿宋_GB2312" w:eastAsia="仿宋_GB2312" w:cs="仿宋_GB2312"/>
          <w:b w:val="0"/>
          <w:bCs/>
          <w:sz w:val="32"/>
          <w:szCs w:val="32"/>
          <w:highlight w:val="none"/>
          <w:lang w:val="en-US" w:eastAsia="zh-CN"/>
        </w:rPr>
      </w:pPr>
      <w:r>
        <w:rPr>
          <w:rFonts w:hint="eastAsia" w:ascii="仿宋_GB2312" w:hAnsi="仿宋_GB2312" w:eastAsia="仿宋_GB2312" w:cs="仿宋_GB2312"/>
          <w:b w:val="0"/>
          <w:bCs/>
          <w:sz w:val="32"/>
          <w:szCs w:val="32"/>
          <w:highlight w:val="none"/>
          <w:lang w:val="en-US" w:eastAsia="zh-CN"/>
        </w:rPr>
        <w:t>4.实质性响应投标人少于3家的，不予开标，根据招标人经营管理需要转其他采购方式。</w:t>
      </w:r>
    </w:p>
    <w:p w14:paraId="377732CC">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4" w:name="_Toc7878"/>
      <w:bookmarkStart w:id="35" w:name="_Toc30898"/>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二</w:t>
      </w:r>
      <w:r>
        <w:rPr>
          <w:rFonts w:hint="eastAsia" w:ascii="黑体" w:hAnsi="黑体" w:eastAsia="黑体" w:cs="黑体"/>
          <w:b w:val="0"/>
          <w:bCs/>
          <w:sz w:val="32"/>
          <w:szCs w:val="32"/>
          <w:highlight w:val="none"/>
        </w:rPr>
        <w:t>、评标</w:t>
      </w:r>
      <w:bookmarkEnd w:id="34"/>
      <w:bookmarkEnd w:id="35"/>
    </w:p>
    <w:p w14:paraId="73B12F39">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一）</w:t>
      </w:r>
      <w:r>
        <w:rPr>
          <w:rFonts w:hint="eastAsia" w:ascii="楷体_GB2312" w:hAnsi="楷体_GB2312" w:eastAsia="楷体_GB2312" w:cs="楷体_GB2312"/>
          <w:b w:val="0"/>
          <w:bCs/>
          <w:sz w:val="32"/>
          <w:szCs w:val="32"/>
          <w:highlight w:val="none"/>
          <w:lang w:eastAsia="zh-CN"/>
        </w:rPr>
        <w:t>评标方法</w:t>
      </w:r>
    </w:p>
    <w:p w14:paraId="3E7610DB">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本项目采用综合评标法。</w:t>
      </w:r>
    </w:p>
    <w:p w14:paraId="76D6B312">
      <w:pPr>
        <w:pStyle w:val="8"/>
        <w:keepNext w:val="0"/>
        <w:keepLines w:val="0"/>
        <w:pageBreakBefore w:val="0"/>
        <w:widowControl w:val="0"/>
        <w:tabs>
          <w:tab w:val="left" w:pos="7740"/>
        </w:tabs>
        <w:kinsoku/>
        <w:wordWrap/>
        <w:overflowPunct/>
        <w:topLinePunct w:val="0"/>
        <w:autoSpaceDE/>
        <w:autoSpaceDN/>
        <w:bidi w:val="0"/>
        <w:adjustRightInd w:val="0"/>
        <w:snapToGrid w:val="0"/>
        <w:spacing w:line="560" w:lineRule="exact"/>
        <w:ind w:left="0" w:firstLine="640" w:firstLineChars="200"/>
        <w:jc w:val="left"/>
        <w:textAlignment w:val="auto"/>
        <w:rPr>
          <w:rFonts w:hint="eastAsia" w:ascii="楷体_GB2312" w:hAnsi="楷体_GB2312" w:eastAsia="楷体_GB2312" w:cs="楷体_GB2312"/>
          <w:b w:val="0"/>
          <w:bCs/>
          <w:sz w:val="32"/>
          <w:szCs w:val="32"/>
          <w:highlight w:val="none"/>
          <w:lang w:eastAsia="zh-CN"/>
        </w:rPr>
      </w:pPr>
      <w:r>
        <w:rPr>
          <w:rFonts w:hint="eastAsia" w:ascii="楷体_GB2312" w:hAnsi="楷体_GB2312" w:eastAsia="楷体_GB2312" w:cs="楷体_GB2312"/>
          <w:b w:val="0"/>
          <w:bCs/>
          <w:sz w:val="32"/>
          <w:szCs w:val="32"/>
          <w:highlight w:val="none"/>
          <w:lang w:eastAsia="zh-CN"/>
        </w:rPr>
        <w:t>（</w:t>
      </w:r>
      <w:r>
        <w:rPr>
          <w:rFonts w:hint="eastAsia" w:ascii="楷体_GB2312" w:hAnsi="楷体_GB2312" w:eastAsia="楷体_GB2312" w:cs="楷体_GB2312"/>
          <w:b w:val="0"/>
          <w:bCs/>
          <w:sz w:val="32"/>
          <w:szCs w:val="32"/>
          <w:highlight w:val="none"/>
          <w:lang w:val="en-US" w:eastAsia="zh-CN"/>
        </w:rPr>
        <w:t>二）</w:t>
      </w:r>
      <w:r>
        <w:rPr>
          <w:rFonts w:hint="eastAsia" w:ascii="楷体_GB2312" w:hAnsi="楷体_GB2312" w:eastAsia="楷体_GB2312" w:cs="楷体_GB2312"/>
          <w:b w:val="0"/>
          <w:bCs/>
          <w:sz w:val="32"/>
          <w:szCs w:val="32"/>
          <w:highlight w:val="none"/>
          <w:lang w:eastAsia="zh-CN"/>
        </w:rPr>
        <w:t>评标细则及标准</w:t>
      </w:r>
    </w:p>
    <w:p w14:paraId="34BB53F3">
      <w:pPr>
        <w:pStyle w:val="8"/>
        <w:keepNext w:val="0"/>
        <w:keepLines w:val="0"/>
        <w:pageBreakBefore w:val="0"/>
        <w:widowControl w:val="0"/>
        <w:numPr>
          <w:ilvl w:val="0"/>
          <w:numId w:val="0"/>
        </w:numPr>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_GB2312" w:hAnsi="仿宋_GB2312" w:eastAsia="仿宋_GB2312" w:cs="仿宋_GB2312"/>
          <w:b w:val="0"/>
          <w:bCs/>
          <w:sz w:val="32"/>
          <w:szCs w:val="32"/>
          <w:highlight w:val="none"/>
          <w:lang w:eastAsia="zh-CN"/>
        </w:rPr>
        <w:t>（</w:t>
      </w:r>
      <w:r>
        <w:rPr>
          <w:rFonts w:hint="eastAsia" w:ascii="仿宋_GB2312" w:hAnsi="仿宋_GB2312" w:eastAsia="仿宋_GB2312" w:cs="仿宋_GB2312"/>
          <w:b w:val="0"/>
          <w:bCs/>
          <w:sz w:val="32"/>
          <w:szCs w:val="32"/>
          <w:highlight w:val="none"/>
        </w:rPr>
        <w:t>见“</w:t>
      </w:r>
      <w:r>
        <w:rPr>
          <w:rFonts w:hint="eastAsia" w:ascii="仿宋_GB2312" w:hAnsi="仿宋_GB2312" w:eastAsia="仿宋_GB2312" w:cs="仿宋_GB2312"/>
          <w:b w:val="0"/>
          <w:bCs/>
          <w:sz w:val="32"/>
          <w:szCs w:val="32"/>
          <w:highlight w:val="none"/>
          <w:lang w:eastAsia="zh-CN"/>
        </w:rPr>
        <w:t>招标文件</w:t>
      </w:r>
      <w:r>
        <w:rPr>
          <w:rFonts w:hint="eastAsia" w:ascii="仿宋_GB2312" w:hAnsi="仿宋_GB2312" w:eastAsia="仿宋_GB2312" w:cs="仿宋_GB2312"/>
          <w:b w:val="0"/>
          <w:bCs/>
          <w:sz w:val="32"/>
          <w:szCs w:val="32"/>
          <w:highlight w:val="none"/>
        </w:rPr>
        <w:t xml:space="preserve"> 第二章 评标程序及标准”）</w:t>
      </w:r>
    </w:p>
    <w:p w14:paraId="0A4C5C70">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6" w:name="_Toc29188"/>
      <w:bookmarkStart w:id="37" w:name="_Toc4865"/>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三</w:t>
      </w:r>
      <w:r>
        <w:rPr>
          <w:rFonts w:hint="eastAsia" w:ascii="黑体" w:hAnsi="黑体" w:eastAsia="黑体" w:cs="黑体"/>
          <w:b w:val="0"/>
          <w:bCs/>
          <w:sz w:val="32"/>
          <w:szCs w:val="32"/>
          <w:highlight w:val="none"/>
        </w:rPr>
        <w:t>、定标</w:t>
      </w:r>
      <w:bookmarkEnd w:id="36"/>
      <w:bookmarkEnd w:id="37"/>
    </w:p>
    <w:p w14:paraId="359766E8">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由招标人招标决策委员会依据评标报告综合评价定标。</w:t>
      </w:r>
    </w:p>
    <w:p w14:paraId="49554875">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38" w:name="_Toc30510"/>
      <w:bookmarkStart w:id="39" w:name="_Toc17962"/>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四</w:t>
      </w:r>
      <w:r>
        <w:rPr>
          <w:rFonts w:hint="eastAsia" w:ascii="黑体" w:hAnsi="黑体" w:eastAsia="黑体" w:cs="黑体"/>
          <w:b w:val="0"/>
          <w:bCs/>
          <w:sz w:val="32"/>
          <w:szCs w:val="32"/>
          <w:highlight w:val="none"/>
        </w:rPr>
        <w:t>、结算方式</w:t>
      </w:r>
      <w:bookmarkEnd w:id="38"/>
      <w:bookmarkEnd w:id="39"/>
    </w:p>
    <w:p w14:paraId="137DE4BA">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 w:hAnsi="仿宋" w:eastAsia="仿宋" w:cs="仿宋"/>
          <w:b w:val="0"/>
          <w:bCs/>
          <w:sz w:val="32"/>
          <w:szCs w:val="32"/>
          <w:highlight w:val="none"/>
        </w:rPr>
      </w:pPr>
      <w:r>
        <w:rPr>
          <w:rFonts w:hint="eastAsia" w:ascii="仿宋_GB2312" w:hAnsi="仿宋_GB2312" w:eastAsia="仿宋_GB2312" w:cs="仿宋_GB2312"/>
          <w:b w:val="0"/>
          <w:bCs/>
          <w:sz w:val="32"/>
          <w:szCs w:val="32"/>
          <w:highlight w:val="none"/>
        </w:rPr>
        <w:t>按本文件“</w:t>
      </w:r>
      <w:r>
        <w:rPr>
          <w:rFonts w:hint="eastAsia" w:ascii="仿宋_GB2312" w:hAnsi="仿宋_GB2312" w:eastAsia="仿宋_GB2312" w:cs="仿宋_GB2312"/>
          <w:b w:val="0"/>
          <w:bCs/>
          <w:sz w:val="32"/>
          <w:szCs w:val="32"/>
          <w:highlight w:val="none"/>
          <w:lang w:eastAsia="zh-CN"/>
        </w:rPr>
        <w:t>招标文件</w:t>
      </w:r>
      <w:r>
        <w:rPr>
          <w:rFonts w:hint="eastAsia" w:ascii="仿宋_GB2312" w:hAnsi="仿宋_GB2312" w:eastAsia="仿宋_GB2312" w:cs="仿宋_GB2312"/>
          <w:b w:val="0"/>
          <w:bCs/>
          <w:sz w:val="32"/>
          <w:szCs w:val="32"/>
          <w:highlight w:val="none"/>
        </w:rPr>
        <w:t xml:space="preserve"> 第三章 合同条款”约定的结算方式执行。</w:t>
      </w:r>
    </w:p>
    <w:p w14:paraId="0A442761">
      <w:pPr>
        <w:pStyle w:val="4"/>
        <w:pageBreakBefore w:val="0"/>
        <w:kinsoku/>
        <w:wordWrap/>
        <w:overflowPunct/>
        <w:topLinePunct w:val="0"/>
        <w:autoSpaceDE/>
        <w:autoSpaceDN/>
        <w:bidi w:val="0"/>
        <w:spacing w:before="0" w:after="0" w:line="560" w:lineRule="exact"/>
        <w:ind w:left="0" w:firstLine="640" w:firstLineChars="200"/>
        <w:textAlignment w:val="auto"/>
        <w:rPr>
          <w:rFonts w:hint="eastAsia" w:ascii="黑体" w:hAnsi="黑体" w:eastAsia="黑体" w:cs="黑体"/>
          <w:b w:val="0"/>
          <w:bCs/>
          <w:sz w:val="32"/>
          <w:szCs w:val="32"/>
          <w:highlight w:val="none"/>
        </w:rPr>
      </w:pPr>
      <w:bookmarkStart w:id="40" w:name="_Toc30136"/>
      <w:bookmarkStart w:id="41" w:name="_Toc11671"/>
      <w:r>
        <w:rPr>
          <w:rFonts w:hint="eastAsia" w:ascii="黑体" w:hAnsi="黑体" w:eastAsia="黑体" w:cs="黑体"/>
          <w:b w:val="0"/>
          <w:bCs/>
          <w:sz w:val="32"/>
          <w:szCs w:val="32"/>
          <w:highlight w:val="none"/>
        </w:rPr>
        <w:t>十</w:t>
      </w:r>
      <w:r>
        <w:rPr>
          <w:rFonts w:hint="eastAsia" w:ascii="黑体" w:hAnsi="黑体" w:eastAsia="黑体" w:cs="黑体"/>
          <w:b w:val="0"/>
          <w:bCs/>
          <w:sz w:val="32"/>
          <w:szCs w:val="32"/>
          <w:highlight w:val="none"/>
          <w:lang w:eastAsia="zh-CN"/>
        </w:rPr>
        <w:t>五</w:t>
      </w:r>
      <w:r>
        <w:rPr>
          <w:rFonts w:hint="eastAsia" w:ascii="黑体" w:hAnsi="黑体" w:eastAsia="黑体" w:cs="黑体"/>
          <w:b w:val="0"/>
          <w:bCs/>
          <w:sz w:val="32"/>
          <w:szCs w:val="32"/>
          <w:highlight w:val="none"/>
        </w:rPr>
        <w:t>、解释权</w:t>
      </w:r>
      <w:bookmarkEnd w:id="40"/>
      <w:bookmarkEnd w:id="41"/>
    </w:p>
    <w:p w14:paraId="6232DC18">
      <w:pPr>
        <w:pStyle w:val="8"/>
        <w:pageBreakBefore w:val="0"/>
        <w:tabs>
          <w:tab w:val="left" w:pos="7740"/>
        </w:tabs>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招标文件解释权归深圳市鹏劳人力资源管理有限公司招标决策委员会所有。</w:t>
      </w:r>
    </w:p>
    <w:p w14:paraId="24F86FA3">
      <w:pPr>
        <w:pStyle w:val="13"/>
        <w:spacing w:line="480" w:lineRule="exact"/>
        <w:ind w:firstLine="0" w:firstLineChars="0"/>
        <w:outlineLvl w:val="9"/>
        <w:rPr>
          <w:rFonts w:ascii="宋体" w:hAnsi="宋体"/>
          <w:bCs w:val="0"/>
          <w:highlight w:val="none"/>
        </w:rPr>
      </w:pPr>
      <w:r>
        <w:rPr>
          <w:rFonts w:hint="eastAsia" w:ascii="宋体" w:hAnsi="宋体" w:cs="宋体"/>
          <w:b w:val="0"/>
          <w:sz w:val="28"/>
          <w:szCs w:val="28"/>
          <w:highlight w:val="none"/>
        </w:rPr>
        <w:br w:type="page"/>
      </w:r>
    </w:p>
    <w:p w14:paraId="74BFB540">
      <w:pPr>
        <w:pStyle w:val="3"/>
        <w:pageBreakBefore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rPr>
      </w:pPr>
      <w:bookmarkStart w:id="42" w:name="_Toc25565"/>
      <w:bookmarkStart w:id="43" w:name="_Toc7974"/>
      <w:r>
        <w:rPr>
          <w:rFonts w:hint="eastAsia" w:ascii="黑体" w:hAnsi="黑体" w:eastAsia="黑体" w:cs="黑体"/>
          <w:b w:val="0"/>
          <w:bCs/>
          <w:sz w:val="32"/>
          <w:szCs w:val="32"/>
          <w:highlight w:val="none"/>
        </w:rPr>
        <w:t xml:space="preserve">第二章 </w:t>
      </w:r>
      <w:bookmarkEnd w:id="42"/>
      <w:r>
        <w:rPr>
          <w:rFonts w:hint="eastAsia" w:ascii="黑体" w:hAnsi="黑体" w:eastAsia="黑体" w:cs="黑体"/>
          <w:b w:val="0"/>
          <w:bCs/>
          <w:sz w:val="32"/>
          <w:szCs w:val="32"/>
          <w:highlight w:val="none"/>
        </w:rPr>
        <w:t>评标程序及标准</w:t>
      </w:r>
      <w:bookmarkEnd w:id="43"/>
    </w:p>
    <w:p w14:paraId="286C24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本项目采用综合评估法。是指在最大限度地满足招标文件实质性要求前提下，按照招标文件规定的评审标准进行评审，按评审因素的量化指标评审排序靠前的推荐中标候选人。得分相同的，按投标报价由低到高顺序排列；得分且投标报价相同的，按商务技术指标或服务方案得分顺序排列；如商务技术指标或服务方案得分仍然相同，则采用抽签的方法确定中标候选人的排序。具体程序如下：</w:t>
      </w:r>
    </w:p>
    <w:p w14:paraId="2B6400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bookmarkStart w:id="44" w:name="_Toc532127158"/>
      <w:bookmarkStart w:id="45" w:name="_Toc40445480"/>
      <w:r>
        <w:rPr>
          <w:rFonts w:hint="eastAsia" w:ascii="黑体" w:hAnsi="黑体" w:eastAsia="黑体" w:cs="黑体"/>
          <w:bCs/>
          <w:sz w:val="32"/>
          <w:szCs w:val="32"/>
          <w:highlight w:val="none"/>
          <w:lang w:val="en-US" w:eastAsia="zh-CN"/>
        </w:rPr>
        <w:t>一、</w:t>
      </w:r>
      <w:r>
        <w:rPr>
          <w:rFonts w:hint="eastAsia" w:ascii="黑体" w:hAnsi="黑体" w:eastAsia="黑体" w:cs="黑体"/>
          <w:bCs/>
          <w:sz w:val="32"/>
          <w:szCs w:val="32"/>
          <w:highlight w:val="none"/>
        </w:rPr>
        <w:t>初步评审</w:t>
      </w:r>
      <w:bookmarkEnd w:id="44"/>
      <w:bookmarkEnd w:id="45"/>
    </w:p>
    <w:p w14:paraId="5B34E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评标专家组根据投标人根据本文件“第二部分 招标文件 第一章 项目需求 六、投标文件要求 2.资质证明文件 ”所提交的文件进行核验。有一项不符合评审标准的，评标专家组应否决其投标。</w:t>
      </w:r>
    </w:p>
    <w:p w14:paraId="42E80B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初步评审的结论是“通过”或“不通过”，只有结论为“通过”的投标方能进入下一阶段的评标，否则其投标将按无效标处理。</w:t>
      </w:r>
    </w:p>
    <w:p w14:paraId="294AF08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bookmarkStart w:id="46" w:name="_bookmark89"/>
      <w:bookmarkEnd w:id="46"/>
      <w:bookmarkStart w:id="47" w:name="_Toc532127159"/>
      <w:bookmarkStart w:id="48" w:name="_Toc40445481"/>
      <w:r>
        <w:rPr>
          <w:rFonts w:hint="eastAsia" w:ascii="黑体" w:hAnsi="黑体" w:eastAsia="黑体" w:cs="黑体"/>
          <w:bCs/>
          <w:sz w:val="32"/>
          <w:szCs w:val="32"/>
          <w:highlight w:val="none"/>
          <w:lang w:val="en-US" w:eastAsia="zh-CN"/>
        </w:rPr>
        <w:t>二、详细评审</w:t>
      </w:r>
      <w:bookmarkEnd w:id="47"/>
      <w:bookmarkEnd w:id="48"/>
    </w:p>
    <w:p w14:paraId="6A6471A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评标专家组按本章规定的量化因素和分值进行打分并计算出综合评估得分。</w:t>
      </w:r>
    </w:p>
    <w:p w14:paraId="2DA0DF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eastAsia="zh-CN"/>
        </w:rPr>
        <w:t>（</w:t>
      </w:r>
      <w:r>
        <w:rPr>
          <w:rFonts w:hint="eastAsia" w:ascii="仿宋" w:hAnsi="仿宋" w:eastAsia="仿宋" w:cs="仿宋"/>
          <w:bCs/>
          <w:sz w:val="32"/>
          <w:szCs w:val="32"/>
          <w:highlight w:val="none"/>
          <w:lang w:val="en-US" w:eastAsia="zh-CN"/>
        </w:rPr>
        <w:t>1）</w:t>
      </w:r>
      <w:r>
        <w:rPr>
          <w:rFonts w:hint="eastAsia" w:ascii="仿宋" w:hAnsi="仿宋" w:eastAsia="仿宋" w:cs="仿宋"/>
          <w:bCs/>
          <w:sz w:val="32"/>
          <w:szCs w:val="32"/>
          <w:highlight w:val="none"/>
        </w:rPr>
        <w:t>按本章商务技术标评分标准规定的评审因素和权重对应分值对商务部分计算出得分A；</w:t>
      </w:r>
    </w:p>
    <w:p w14:paraId="09237BD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（2）按本章价格标评分方法规定的评审因素和权重对应分值对投标报价计算出得分B；</w:t>
      </w:r>
    </w:p>
    <w:p w14:paraId="544252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评分分值计算保留小数点后两位，小数点后第三位“四舍五入”。</w:t>
      </w:r>
    </w:p>
    <w:p w14:paraId="03CAE71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rPr>
        <w:t>（3）投标人得分=A+B。</w:t>
      </w:r>
    </w:p>
    <w:p w14:paraId="6484CB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highlight w:val="none"/>
        </w:rPr>
      </w:pPr>
      <w:r>
        <w:rPr>
          <w:rFonts w:hint="eastAsia" w:ascii="仿宋" w:hAnsi="仿宋" w:eastAsia="仿宋" w:cs="仿宋"/>
          <w:bCs/>
          <w:sz w:val="32"/>
          <w:szCs w:val="32"/>
          <w:highlight w:val="none"/>
          <w:lang w:val="en-US" w:eastAsia="zh-CN"/>
        </w:rPr>
        <w:t>2.</w:t>
      </w:r>
      <w:r>
        <w:rPr>
          <w:rFonts w:hint="eastAsia" w:ascii="仿宋" w:hAnsi="仿宋" w:eastAsia="仿宋" w:cs="仿宋"/>
          <w:bCs/>
          <w:sz w:val="32"/>
          <w:szCs w:val="32"/>
          <w:highlight w:val="none"/>
        </w:rPr>
        <w:t>评标专家组发现投标人的报价明显低于其他投标报价，使得其投标报价可能低于其成本的，应当要求该投标人作出书面说明并提供相应的证明材料。投标人不能合理说明或者不能提供相应证明材料的，由评标专家组认定该投标人以低于成本报价竞标，并否决其投标。</w:t>
      </w:r>
    </w:p>
    <w:p w14:paraId="74B316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bookmarkStart w:id="49" w:name="_Toc40445482"/>
      <w:bookmarkStart w:id="50" w:name="_Toc532127160"/>
      <w:r>
        <w:rPr>
          <w:rFonts w:hint="eastAsia" w:ascii="黑体" w:hAnsi="黑体" w:eastAsia="黑体" w:cs="黑体"/>
          <w:bCs/>
          <w:sz w:val="32"/>
          <w:szCs w:val="32"/>
          <w:highlight w:val="none"/>
          <w:lang w:val="en-US" w:eastAsia="zh-CN"/>
        </w:rPr>
        <w:t>三、投标文件的澄清</w:t>
      </w:r>
      <w:bookmarkEnd w:id="49"/>
      <w:bookmarkEnd w:id="50"/>
    </w:p>
    <w:p w14:paraId="7E62D9F8">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在评标过程中，评标专家组可以书面形式要求投标人对投标文件中含义不明确、对同类问题表述不一致或者有明显文字和计算错误的内容作必要的澄清、说明或补正。澄清、说明或补正应以电子公文（或书面方式）进行。评标专家组不接受投标人主动提出的澄清、说明或补正。</w:t>
      </w:r>
    </w:p>
    <w:p w14:paraId="05264CDF">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澄清、说明或补正不得超出投标文件的范围且不得改变投标文件的实质性内容，并构成投标文件的组成部分。</w:t>
      </w:r>
    </w:p>
    <w:p w14:paraId="1E5D2FB7">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评标专家组对投标人提交的澄清、说明或补正有疑问的，可以要求投标人进一步澄清、说明或补正，直至满足评标专家组的要求。</w:t>
      </w:r>
    </w:p>
    <w:p w14:paraId="78F23A56">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投标文件存在投标报价问题的，评标专家组可以进行投标报价的算术修正，投标报价算术修正按有利于招标人的原则进行。修正后的投标报价经投标人同意后，对投标人起约束作用。如果投标人不接受修正后的报价，其投标将被拒绝。</w:t>
      </w:r>
      <w:bookmarkStart w:id="51" w:name="_Toc532127161"/>
    </w:p>
    <w:p w14:paraId="57786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bookmarkStart w:id="52" w:name="_Toc40445483"/>
      <w:r>
        <w:rPr>
          <w:rFonts w:hint="eastAsia" w:ascii="黑体" w:hAnsi="黑体" w:eastAsia="黑体" w:cs="黑体"/>
          <w:bCs/>
          <w:sz w:val="32"/>
          <w:szCs w:val="32"/>
          <w:highlight w:val="none"/>
          <w:lang w:val="en-US" w:eastAsia="zh-CN"/>
        </w:rPr>
        <w:t>四、评标结果</w:t>
      </w:r>
      <w:bookmarkEnd w:id="51"/>
      <w:bookmarkEnd w:id="52"/>
    </w:p>
    <w:p w14:paraId="33F0FD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评标专家组按照评审分数由低到高的顺序推荐中标候选人，并标明排序。</w:t>
      </w:r>
    </w:p>
    <w:p w14:paraId="6D124B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评标专家组完成评标后，应当向招标决策委员会提交书面评标报告和中标候选人名单。</w:t>
      </w:r>
      <w:bookmarkStart w:id="53" w:name="_Toc532127162"/>
      <w:r>
        <w:rPr>
          <w:rFonts w:hint="eastAsia" w:ascii="仿宋_GB2312" w:hAnsi="仿宋_GB2312" w:eastAsia="仿宋_GB2312" w:cs="仿宋_GB2312"/>
          <w:bCs/>
          <w:sz w:val="32"/>
          <w:szCs w:val="32"/>
          <w:highlight w:val="none"/>
        </w:rPr>
        <w:t>具体程序如下:</w:t>
      </w:r>
    </w:p>
    <w:bookmarkEnd w:id="53"/>
    <w:p w14:paraId="4A7E1A20">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1）</w:t>
      </w:r>
      <w:r>
        <w:rPr>
          <w:rFonts w:hint="eastAsia" w:ascii="仿宋_GB2312" w:hAnsi="仿宋_GB2312" w:eastAsia="仿宋_GB2312" w:cs="仿宋_GB2312"/>
          <w:bCs/>
          <w:sz w:val="32"/>
          <w:szCs w:val="32"/>
          <w:highlight w:val="none"/>
        </w:rPr>
        <w:t>按评审综合得分从高至低的顺序进行排序，向招标人决策委员会推荐评审总得分排名靠前的投标人为中标候选人，推荐数为2家。</w:t>
      </w:r>
    </w:p>
    <w:p w14:paraId="47B03C1D">
      <w:pPr>
        <w:keepNext w:val="0"/>
        <w:keepLines w:val="0"/>
        <w:pageBreakBefore w:val="0"/>
        <w:widowControl w:val="0"/>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2）</w:t>
      </w:r>
      <w:r>
        <w:rPr>
          <w:rFonts w:hint="eastAsia" w:ascii="仿宋_GB2312" w:hAnsi="仿宋_GB2312" w:eastAsia="仿宋_GB2312" w:cs="仿宋_GB2312"/>
          <w:bCs/>
          <w:sz w:val="32"/>
          <w:szCs w:val="32"/>
          <w:highlight w:val="none"/>
        </w:rPr>
        <w:t>若出现评审综合得分相同的情形，按投标报价由低到高顺序排列；得分且投标报价相同的，按商务技术标得分顺序排列；如商务技术标得分仍然相同，则采用抽签的方法确定中标候选人的排序。</w:t>
      </w:r>
    </w:p>
    <w:p w14:paraId="37A0E0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五、转为竞争性谈判的程序</w:t>
      </w:r>
    </w:p>
    <w:p w14:paraId="4D7CF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参照法律法规规定执行。</w:t>
      </w:r>
    </w:p>
    <w:p w14:paraId="4C468FF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bookmarkStart w:id="54" w:name="_Toc532127163"/>
      <w:bookmarkStart w:id="55" w:name="_Toc40445485"/>
      <w:r>
        <w:rPr>
          <w:rFonts w:hint="eastAsia" w:ascii="黑体" w:hAnsi="黑体" w:eastAsia="黑体" w:cs="黑体"/>
          <w:bCs/>
          <w:sz w:val="32"/>
          <w:szCs w:val="32"/>
          <w:highlight w:val="none"/>
          <w:lang w:val="en-US" w:eastAsia="zh-CN"/>
        </w:rPr>
        <w:t>六、附表</w:t>
      </w:r>
      <w:bookmarkEnd w:id="54"/>
      <w:bookmarkEnd w:id="55"/>
    </w:p>
    <w:p w14:paraId="476FDD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附表1-1《商务技术标评审标准》</w:t>
      </w:r>
    </w:p>
    <w:p w14:paraId="10AA46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附表2-1《价格标评分方法》</w:t>
      </w:r>
    </w:p>
    <w:p w14:paraId="7DDF06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附表3-1《商务技术标、价格标权重表》</w:t>
      </w:r>
    </w:p>
    <w:p w14:paraId="04751EA2">
      <w:pPr>
        <w:keepNext/>
        <w:keepLines/>
        <w:widowControl/>
        <w:numPr>
          <w:ilvl w:val="3"/>
          <w:numId w:val="0"/>
        </w:numPr>
        <w:adjustRightInd w:val="0"/>
        <w:snapToGrid w:val="0"/>
        <w:spacing w:line="360" w:lineRule="auto"/>
        <w:ind w:firstLine="562" w:firstLineChars="200"/>
        <w:outlineLvl w:val="3"/>
        <w:rPr>
          <w:rFonts w:ascii="Times New Roman" w:hAnsi="Times New Roman" w:eastAsia="宋体" w:cs="Times New Roman"/>
          <w:b/>
          <w:sz w:val="22"/>
          <w:szCs w:val="24"/>
          <w:highlight w:val="none"/>
        </w:rPr>
      </w:pPr>
      <w:bookmarkStart w:id="56" w:name="_bookmark90"/>
      <w:bookmarkEnd w:id="56"/>
      <w:bookmarkStart w:id="57" w:name="_bookmark91"/>
      <w:bookmarkEnd w:id="57"/>
      <w:r>
        <w:rPr>
          <w:rFonts w:ascii="Arial" w:hAnsi="Arial" w:eastAsia="黑体" w:cs="Times New Roman"/>
          <w:b/>
          <w:sz w:val="28"/>
          <w:szCs w:val="28"/>
          <w:highlight w:val="none"/>
        </w:rPr>
        <w:br w:type="page"/>
      </w:r>
      <w:r>
        <w:rPr>
          <w:rFonts w:hint="eastAsia" w:ascii="仿宋" w:hAnsi="仿宋" w:eastAsia="仿宋" w:cs="仿宋"/>
          <w:b w:val="0"/>
          <w:bCs/>
          <w:sz w:val="22"/>
          <w:szCs w:val="24"/>
          <w:highlight w:val="none"/>
        </w:rPr>
        <w:t>附表1-1 商务技术标评审标准</w:t>
      </w:r>
    </w:p>
    <w:p w14:paraId="678A3E87">
      <w:pPr>
        <w:keepNext w:val="0"/>
        <w:keepLines w:val="0"/>
        <w:pageBreakBefore w:val="0"/>
        <w:widowControl/>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
          <w:sz w:val="32"/>
          <w:szCs w:val="32"/>
          <w:highlight w:val="none"/>
        </w:rPr>
      </w:pPr>
      <w:r>
        <w:rPr>
          <w:rFonts w:hint="eastAsia" w:ascii="方正小标宋简体" w:hAnsi="方正小标宋简体" w:eastAsia="方正小标宋简体" w:cs="方正小标宋简体"/>
          <w:b/>
          <w:sz w:val="32"/>
          <w:szCs w:val="32"/>
          <w:highlight w:val="none"/>
        </w:rPr>
        <w:t>商务技术标评审标准</w:t>
      </w:r>
    </w:p>
    <w:tbl>
      <w:tblPr>
        <w:tblStyle w:val="15"/>
        <w:tblW w:w="5629"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81"/>
        <w:gridCol w:w="1076"/>
        <w:gridCol w:w="7510"/>
        <w:gridCol w:w="935"/>
      </w:tblGrid>
      <w:tr w14:paraId="0A861E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7" w:hRule="atLeast"/>
          <w:tblHeader/>
          <w:jc w:val="center"/>
        </w:trPr>
        <w:tc>
          <w:tcPr>
            <w:tcW w:w="334" w:type="pct"/>
            <w:tcBorders>
              <w:tl2br w:val="nil"/>
              <w:tr2bl w:val="nil"/>
            </w:tcBorders>
            <w:shd w:val="clear" w:color="auto" w:fill="FFFFFF" w:themeFill="background1"/>
            <w:vAlign w:val="center"/>
          </w:tcPr>
          <w:p w14:paraId="17C08768">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序号</w:t>
            </w:r>
          </w:p>
        </w:tc>
        <w:tc>
          <w:tcPr>
            <w:tcW w:w="527" w:type="pct"/>
            <w:tcBorders>
              <w:tl2br w:val="nil"/>
              <w:tr2bl w:val="nil"/>
            </w:tcBorders>
            <w:shd w:val="clear" w:color="auto" w:fill="FFFFFF" w:themeFill="background1"/>
            <w:vAlign w:val="center"/>
          </w:tcPr>
          <w:p w14:paraId="5F79941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评分因素</w:t>
            </w:r>
          </w:p>
        </w:tc>
        <w:tc>
          <w:tcPr>
            <w:tcW w:w="3679" w:type="pct"/>
            <w:tcBorders>
              <w:tl2br w:val="nil"/>
              <w:tr2bl w:val="nil"/>
            </w:tcBorders>
            <w:shd w:val="clear" w:color="auto" w:fill="FFFFFF" w:themeFill="background1"/>
            <w:vAlign w:val="center"/>
          </w:tcPr>
          <w:p w14:paraId="12F5C2E5">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评分准则</w:t>
            </w:r>
          </w:p>
        </w:tc>
        <w:tc>
          <w:tcPr>
            <w:tcW w:w="458" w:type="pct"/>
            <w:tcBorders>
              <w:tl2br w:val="nil"/>
              <w:tr2bl w:val="nil"/>
            </w:tcBorders>
            <w:shd w:val="clear" w:color="auto" w:fill="FFFFFF" w:themeFill="background1"/>
            <w:vAlign w:val="center"/>
          </w:tcPr>
          <w:p w14:paraId="144D11E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分值</w:t>
            </w:r>
          </w:p>
        </w:tc>
      </w:tr>
      <w:tr w14:paraId="187734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17" w:hRule="atLeast"/>
          <w:jc w:val="center"/>
        </w:trPr>
        <w:tc>
          <w:tcPr>
            <w:tcW w:w="334" w:type="pct"/>
            <w:tcBorders>
              <w:tl2br w:val="nil"/>
              <w:tr2bl w:val="nil"/>
            </w:tcBorders>
            <w:vAlign w:val="center"/>
          </w:tcPr>
          <w:p w14:paraId="7128E98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 w:val="20"/>
                <w:szCs w:val="20"/>
                <w:highlight w:val="none"/>
              </w:rPr>
            </w:pPr>
            <w:r>
              <w:rPr>
                <w:rFonts w:hint="eastAsia" w:ascii="宋体" w:hAnsi="宋体" w:eastAsia="宋体" w:cs="Times New Roman"/>
                <w:bCs/>
                <w:sz w:val="20"/>
                <w:szCs w:val="20"/>
                <w:highlight w:val="none"/>
              </w:rPr>
              <w:t>1</w:t>
            </w:r>
          </w:p>
        </w:tc>
        <w:tc>
          <w:tcPr>
            <w:tcW w:w="527" w:type="pct"/>
            <w:tcBorders>
              <w:tl2br w:val="nil"/>
              <w:tr2bl w:val="nil"/>
            </w:tcBorders>
            <w:vAlign w:val="center"/>
          </w:tcPr>
          <w:p w14:paraId="09F44E72">
            <w:pPr>
              <w:keepNext w:val="0"/>
              <w:keepLines w:val="0"/>
              <w:pageBreakBefore w:val="0"/>
              <w:kinsoku/>
              <w:wordWrap/>
              <w:overflowPunct/>
              <w:topLinePunct w:val="0"/>
              <w:autoSpaceDE/>
              <w:autoSpaceDN/>
              <w:bidi w:val="0"/>
              <w:snapToGrid w:val="0"/>
              <w:spacing w:line="280" w:lineRule="exact"/>
              <w:jc w:val="center"/>
              <w:textAlignment w:val="auto"/>
              <w:rPr>
                <w:rFonts w:ascii="宋体" w:hAnsi="宋体" w:eastAsia="宋体" w:cs="Times New Roman"/>
                <w:bCs/>
                <w:sz w:val="20"/>
                <w:szCs w:val="20"/>
                <w:highlight w:val="none"/>
              </w:rPr>
            </w:pPr>
            <w:r>
              <w:rPr>
                <w:rStyle w:val="21"/>
                <w:rFonts w:hint="eastAsia" w:ascii="宋体" w:hAnsi="宋体" w:eastAsia="宋体" w:cs="Times New Roman"/>
                <w:bCs/>
                <w:sz w:val="20"/>
                <w:szCs w:val="20"/>
                <w:highlight w:val="none"/>
              </w:rPr>
              <w:t>企业实力和业绩</w:t>
            </w:r>
          </w:p>
        </w:tc>
        <w:tc>
          <w:tcPr>
            <w:tcW w:w="3679" w:type="pct"/>
            <w:tcBorders>
              <w:tl2br w:val="nil"/>
              <w:tr2bl w:val="nil"/>
            </w:tcBorders>
            <w:vAlign w:val="center"/>
          </w:tcPr>
          <w:p w14:paraId="3C0F66A2">
            <w:pPr>
              <w:keepNext w:val="0"/>
              <w:keepLines w:val="0"/>
              <w:pageBreakBefore w:val="0"/>
              <w:widowControl/>
              <w:shd w:val="clear" w:color="auto" w:fill="FFFFFF"/>
              <w:kinsoku/>
              <w:wordWrap/>
              <w:overflowPunct/>
              <w:topLinePunct w:val="0"/>
              <w:autoSpaceDE/>
              <w:autoSpaceDN/>
              <w:bidi w:val="0"/>
              <w:spacing w:line="280" w:lineRule="exact"/>
              <w:ind w:firstLine="32"/>
              <w:jc w:val="both"/>
              <w:textAlignment w:val="auto"/>
              <w:rPr>
                <w:rFonts w:hint="eastAsia" w:ascii="宋体" w:hAnsi="宋体" w:eastAsia="宋体" w:cs="Times New Roman"/>
                <w:bCs/>
                <w:sz w:val="20"/>
                <w:szCs w:val="20"/>
                <w:highlight w:val="none"/>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lang w:val="en-US" w:eastAsia="zh-CN"/>
              </w:rPr>
              <w:t>投标</w:t>
            </w:r>
            <w:r>
              <w:rPr>
                <w:rFonts w:hint="eastAsia" w:ascii="宋体" w:hAnsi="宋体" w:eastAsia="宋体" w:cs="Times New Roman"/>
                <w:bCs/>
                <w:sz w:val="20"/>
                <w:szCs w:val="20"/>
                <w:highlight w:val="none"/>
              </w:rPr>
              <w:t>人提供自</w:t>
            </w:r>
            <w:r>
              <w:rPr>
                <w:rFonts w:hint="eastAsia" w:ascii="宋体" w:hAnsi="宋体" w:eastAsia="宋体" w:cs="Times New Roman"/>
                <w:bCs/>
                <w:sz w:val="20"/>
                <w:szCs w:val="20"/>
                <w:highlight w:val="none"/>
                <w:lang w:val="en-US" w:eastAsia="zh-CN"/>
              </w:rPr>
              <w:t>2021</w:t>
            </w:r>
            <w:r>
              <w:rPr>
                <w:rFonts w:hint="eastAsia" w:ascii="宋体" w:hAnsi="宋体" w:eastAsia="宋体" w:cs="Times New Roman"/>
                <w:bCs/>
                <w:sz w:val="20"/>
                <w:szCs w:val="20"/>
                <w:highlight w:val="none"/>
              </w:rPr>
              <w:t>年至今，企业团检规模达到500人以上，且包含异地分支机构服务成功案例，每提供1个案例得2分，上限不超过10分。（需提供合同复印件）</w:t>
            </w:r>
          </w:p>
          <w:p w14:paraId="4922A2E4">
            <w:pPr>
              <w:keepNext w:val="0"/>
              <w:keepLines w:val="0"/>
              <w:pageBreakBefore w:val="0"/>
              <w:widowControl/>
              <w:shd w:val="clear" w:color="auto" w:fill="FFFFFF"/>
              <w:kinsoku/>
              <w:wordWrap/>
              <w:overflowPunct/>
              <w:topLinePunct w:val="0"/>
              <w:autoSpaceDE/>
              <w:autoSpaceDN/>
              <w:bidi w:val="0"/>
              <w:spacing w:line="280" w:lineRule="exact"/>
              <w:ind w:firstLine="32"/>
              <w:jc w:val="both"/>
              <w:textAlignment w:val="auto"/>
              <w:rPr>
                <w:rFonts w:hint="eastAsia"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 w:val="0"/>
                <w:bCs/>
                <w:sz w:val="20"/>
                <w:szCs w:val="20"/>
                <w:highlight w:val="none"/>
                <w:lang w:val="en-US" w:eastAsia="zh-CN"/>
              </w:rPr>
              <w:t>提供业绩汇总表及合同关键页扫描件，根据投标人提供业绩合同关键页扫描件进行评分（要求能体现合同签订方盖章页、合同金额、合同体检人数、合同签订时间）。如提供合同未显示体检人数，提供对应结算清单的，</w:t>
            </w:r>
            <w:r>
              <w:rPr>
                <w:rFonts w:hint="eastAsia"/>
                <w:color w:val="000000"/>
                <w:sz w:val="18"/>
                <w:szCs w:val="18"/>
                <w:highlight w:val="none"/>
              </w:rPr>
              <w:t>可以作为有效佐证计入业绩</w:t>
            </w:r>
            <w:r>
              <w:rPr>
                <w:rFonts w:hint="eastAsia" w:ascii="宋体" w:hAnsi="宋体" w:eastAsia="宋体" w:cs="Times New Roman"/>
                <w:b w:val="0"/>
                <w:bCs/>
                <w:sz w:val="20"/>
                <w:szCs w:val="20"/>
                <w:highlight w:val="none"/>
                <w:lang w:val="en-US" w:eastAsia="zh-CN"/>
              </w:rPr>
              <w:t>，所有文件均需清晰扫描并加盖公章。“格式参见本文件“第四章 投标文件格式 格式3 业绩证明”。</w:t>
            </w:r>
          </w:p>
        </w:tc>
        <w:tc>
          <w:tcPr>
            <w:tcW w:w="458" w:type="pct"/>
            <w:tcBorders>
              <w:tl2br w:val="nil"/>
              <w:tr2bl w:val="nil"/>
            </w:tcBorders>
            <w:vAlign w:val="center"/>
          </w:tcPr>
          <w:p w14:paraId="286340DA">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rPr>
              <w:t>10分</w:t>
            </w:r>
          </w:p>
        </w:tc>
      </w:tr>
      <w:tr w14:paraId="223B71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60" w:hRule="atLeast"/>
          <w:jc w:val="center"/>
        </w:trPr>
        <w:tc>
          <w:tcPr>
            <w:tcW w:w="334" w:type="pct"/>
            <w:tcBorders>
              <w:tl2br w:val="nil"/>
              <w:tr2bl w:val="nil"/>
            </w:tcBorders>
            <w:vAlign w:val="center"/>
          </w:tcPr>
          <w:p w14:paraId="5AB6FE14">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bCs/>
                <w:sz w:val="20"/>
                <w:szCs w:val="20"/>
                <w:highlight w:val="none"/>
                <w:lang w:val="en-US" w:eastAsia="zh-CN"/>
              </w:rPr>
            </w:pPr>
            <w:r>
              <w:rPr>
                <w:rFonts w:hint="eastAsia" w:ascii="宋体" w:hAnsi="宋体" w:eastAsia="宋体" w:cs="Times New Roman"/>
                <w:bCs/>
                <w:sz w:val="20"/>
                <w:szCs w:val="20"/>
                <w:highlight w:val="none"/>
                <w:lang w:val="en-US" w:eastAsia="zh-CN"/>
              </w:rPr>
              <w:t>2</w:t>
            </w:r>
          </w:p>
        </w:tc>
        <w:tc>
          <w:tcPr>
            <w:tcW w:w="527" w:type="pct"/>
            <w:tcBorders>
              <w:tl2br w:val="nil"/>
              <w:tr2bl w:val="nil"/>
            </w:tcBorders>
            <w:vAlign w:val="center"/>
          </w:tcPr>
          <w:p w14:paraId="33353433">
            <w:pPr>
              <w:keepNext w:val="0"/>
              <w:keepLines w:val="0"/>
              <w:pageBreakBefore w:val="0"/>
              <w:kinsoku/>
              <w:wordWrap/>
              <w:overflowPunct/>
              <w:topLinePunct w:val="0"/>
              <w:autoSpaceDE/>
              <w:autoSpaceDN/>
              <w:bidi w:val="0"/>
              <w:snapToGrid w:val="0"/>
              <w:spacing w:line="280" w:lineRule="exact"/>
              <w:jc w:val="center"/>
              <w:textAlignment w:val="auto"/>
              <w:rPr>
                <w:rStyle w:val="21"/>
                <w:rFonts w:hint="default" w:ascii="宋体" w:hAnsi="宋体" w:eastAsia="宋体" w:cs="Times New Roman"/>
                <w:bCs/>
                <w:sz w:val="20"/>
                <w:szCs w:val="20"/>
                <w:highlight w:val="none"/>
                <w:lang w:val="en-US" w:eastAsia="zh-CN"/>
              </w:rPr>
            </w:pPr>
            <w:r>
              <w:rPr>
                <w:rFonts w:hint="eastAsia" w:ascii="宋体" w:hAnsi="宋体" w:eastAsia="宋体" w:cs="Times New Roman"/>
                <w:bCs/>
                <w:sz w:val="20"/>
                <w:szCs w:val="20"/>
                <w:highlight w:val="none"/>
                <w:lang w:val="en-US" w:eastAsia="zh-CN"/>
              </w:rPr>
              <w:t>体检门诊机构情况</w:t>
            </w:r>
          </w:p>
        </w:tc>
        <w:tc>
          <w:tcPr>
            <w:tcW w:w="3679" w:type="pct"/>
            <w:tcBorders>
              <w:tl2br w:val="nil"/>
              <w:tr2bl w:val="nil"/>
            </w:tcBorders>
            <w:vAlign w:val="center"/>
          </w:tcPr>
          <w:p w14:paraId="29E19819">
            <w:pPr>
              <w:keepNext w:val="0"/>
              <w:keepLines w:val="0"/>
              <w:pageBreakBefore w:val="0"/>
              <w:widowControl/>
              <w:shd w:val="clear" w:color="auto" w:fill="FFFFFF"/>
              <w:kinsoku/>
              <w:wordWrap/>
              <w:overflowPunct/>
              <w:topLinePunct w:val="0"/>
              <w:autoSpaceDE/>
              <w:autoSpaceDN/>
              <w:bidi w:val="0"/>
              <w:spacing w:line="280" w:lineRule="exact"/>
              <w:ind w:firstLine="32"/>
              <w:jc w:val="both"/>
              <w:textAlignment w:val="auto"/>
              <w:rPr>
                <w:rFonts w:hint="eastAsia"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lang w:val="en-US" w:eastAsia="zh-CN"/>
              </w:rPr>
              <w:t>投标人对照本项目体检服务地点需求，提供体检需求所在地已设立体检门诊机构情况。由评标专家结合实际体检计划，实施综合评分并排序。得分最高本项计10分，次高得7分，以此类推。</w:t>
            </w:r>
          </w:p>
          <w:p w14:paraId="35C15C14">
            <w:pPr>
              <w:keepNext w:val="0"/>
              <w:keepLines w:val="0"/>
              <w:pageBreakBefore w:val="0"/>
              <w:widowControl/>
              <w:shd w:val="clear" w:color="auto" w:fill="FFFFFF"/>
              <w:kinsoku/>
              <w:wordWrap/>
              <w:overflowPunct/>
              <w:topLinePunct w:val="0"/>
              <w:autoSpaceDE/>
              <w:autoSpaceDN/>
              <w:bidi w:val="0"/>
              <w:spacing w:line="280" w:lineRule="exact"/>
              <w:ind w:firstLine="32"/>
              <w:jc w:val="both"/>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Cs/>
                <w:sz w:val="20"/>
                <w:szCs w:val="20"/>
                <w:highlight w:val="none"/>
                <w:lang w:val="en-US" w:eastAsia="zh-CN"/>
              </w:rPr>
              <w:t>投标人对照招标人需求服务地点，列示拟实施服务的门诊机构情况进行评分。</w:t>
            </w:r>
          </w:p>
        </w:tc>
        <w:tc>
          <w:tcPr>
            <w:tcW w:w="458" w:type="pct"/>
            <w:tcBorders>
              <w:tl2br w:val="nil"/>
              <w:tr2bl w:val="nil"/>
            </w:tcBorders>
            <w:vAlign w:val="center"/>
          </w:tcPr>
          <w:p w14:paraId="329F6EC0">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default" w:ascii="宋体" w:hAnsi="宋体" w:eastAsia="宋体" w:cs="Times New Roman"/>
                <w:bCs/>
                <w:szCs w:val="21"/>
                <w:highlight w:val="none"/>
                <w:lang w:val="en-US" w:eastAsia="zh-CN"/>
              </w:rPr>
            </w:pPr>
            <w:r>
              <w:rPr>
                <w:rFonts w:hint="eastAsia" w:ascii="宋体" w:hAnsi="宋体" w:eastAsia="宋体" w:cs="Times New Roman"/>
                <w:bCs/>
                <w:szCs w:val="21"/>
                <w:highlight w:val="none"/>
                <w:lang w:val="en-US" w:eastAsia="zh-CN"/>
              </w:rPr>
              <w:t>10分</w:t>
            </w:r>
          </w:p>
        </w:tc>
      </w:tr>
      <w:tr w14:paraId="1312E9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334" w:type="pct"/>
            <w:tcBorders>
              <w:tl2br w:val="nil"/>
              <w:tr2bl w:val="nil"/>
            </w:tcBorders>
            <w:vAlign w:val="center"/>
          </w:tcPr>
          <w:p w14:paraId="2CC1FAF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Cs/>
                <w:sz w:val="20"/>
                <w:szCs w:val="20"/>
                <w:highlight w:val="none"/>
                <w:lang w:val="en-US" w:eastAsia="zh-CN"/>
              </w:rPr>
              <w:t>3</w:t>
            </w:r>
          </w:p>
        </w:tc>
        <w:tc>
          <w:tcPr>
            <w:tcW w:w="527" w:type="pct"/>
            <w:tcBorders>
              <w:tl2br w:val="nil"/>
              <w:tr2bl w:val="nil"/>
            </w:tcBorders>
            <w:vAlign w:val="center"/>
          </w:tcPr>
          <w:p w14:paraId="1090F11D">
            <w:pPr>
              <w:keepNext w:val="0"/>
              <w:keepLines w:val="0"/>
              <w:pageBreakBefore w:val="0"/>
              <w:kinsoku/>
              <w:wordWrap/>
              <w:overflowPunct/>
              <w:topLinePunct w:val="0"/>
              <w:autoSpaceDE/>
              <w:autoSpaceDN/>
              <w:bidi w:val="0"/>
              <w:snapToGrid w:val="0"/>
              <w:spacing w:line="280" w:lineRule="exact"/>
              <w:jc w:val="center"/>
              <w:textAlignment w:val="auto"/>
              <w:rPr>
                <w:rFonts w:hint="eastAsia" w:ascii="宋体" w:hAnsi="宋体" w:eastAsia="宋体" w:cs="Times New Roman"/>
                <w:bCs/>
                <w:sz w:val="20"/>
                <w:szCs w:val="20"/>
                <w:highlight w:val="none"/>
              </w:rPr>
            </w:pPr>
            <w:r>
              <w:rPr>
                <w:rStyle w:val="21"/>
                <w:rFonts w:hint="eastAsia" w:ascii="宋体" w:hAnsi="宋体" w:eastAsia="宋体" w:cs="Times New Roman"/>
                <w:bCs/>
                <w:sz w:val="20"/>
                <w:szCs w:val="20"/>
                <w:highlight w:val="none"/>
              </w:rPr>
              <w:t>地理位置与交通便利性</w:t>
            </w:r>
          </w:p>
        </w:tc>
        <w:tc>
          <w:tcPr>
            <w:tcW w:w="3679" w:type="pct"/>
            <w:tcBorders>
              <w:tl2br w:val="nil"/>
              <w:tr2bl w:val="nil"/>
            </w:tcBorders>
            <w:vAlign w:val="center"/>
          </w:tcPr>
          <w:p w14:paraId="7F4042AB">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rPr>
              <w:t>投标人</w:t>
            </w:r>
            <w:r>
              <w:rPr>
                <w:rFonts w:hint="eastAsia" w:ascii="宋体" w:hAnsi="宋体" w:eastAsia="宋体" w:cs="Times New Roman"/>
                <w:bCs/>
                <w:sz w:val="20"/>
                <w:szCs w:val="20"/>
                <w:highlight w:val="none"/>
                <w:lang w:val="en-US" w:eastAsia="zh-CN"/>
              </w:rPr>
              <w:t>对本项目</w:t>
            </w:r>
            <w:r>
              <w:rPr>
                <w:rFonts w:hint="eastAsia" w:ascii="宋体" w:hAnsi="宋体" w:eastAsia="宋体" w:cs="Times New Roman"/>
                <w:bCs/>
                <w:sz w:val="20"/>
                <w:szCs w:val="20"/>
                <w:highlight w:val="none"/>
              </w:rPr>
              <w:t>拟实施服务门诊机构1000米以内均设有公共交通设施（包括公交车站、地铁）的，本项目得满分10分，每一拟实施服务门诊机构附近1000米内无公共交通设施的，扣2分。</w:t>
            </w:r>
          </w:p>
          <w:p w14:paraId="774B3A4A">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
                <w:bCs w:val="0"/>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 w:val="0"/>
                <w:bCs/>
                <w:sz w:val="20"/>
                <w:szCs w:val="20"/>
                <w:highlight w:val="none"/>
                <w:lang w:val="en-US" w:eastAsia="zh-CN"/>
              </w:rPr>
              <w:t>以</w:t>
            </w:r>
            <w:r>
              <w:rPr>
                <w:rFonts w:hint="eastAsia" w:ascii="宋体" w:hAnsi="宋体" w:eastAsia="宋体" w:cs="Times New Roman"/>
                <w:b w:val="0"/>
                <w:bCs/>
                <w:sz w:val="20"/>
                <w:szCs w:val="20"/>
                <w:highlight w:val="none"/>
              </w:rPr>
              <w:t>百度地图显示信息</w:t>
            </w:r>
            <w:r>
              <w:rPr>
                <w:rFonts w:hint="eastAsia" w:ascii="宋体" w:hAnsi="宋体" w:eastAsia="宋体" w:cs="Times New Roman"/>
                <w:b w:val="0"/>
                <w:bCs/>
                <w:sz w:val="20"/>
                <w:szCs w:val="20"/>
                <w:highlight w:val="none"/>
                <w:lang w:val="en-US" w:eastAsia="zh-CN"/>
              </w:rPr>
              <w:t>为准，投标人服务方案以截图形式提供</w:t>
            </w:r>
            <w:r>
              <w:rPr>
                <w:rFonts w:hint="eastAsia" w:ascii="宋体" w:hAnsi="宋体" w:eastAsia="宋体" w:cs="Times New Roman"/>
                <w:b w:val="0"/>
                <w:bCs/>
                <w:sz w:val="20"/>
                <w:szCs w:val="20"/>
                <w:highlight w:val="none"/>
                <w:lang w:eastAsia="zh-CN"/>
              </w:rPr>
              <w:t>。</w:t>
            </w:r>
          </w:p>
        </w:tc>
        <w:tc>
          <w:tcPr>
            <w:tcW w:w="458" w:type="pct"/>
            <w:tcBorders>
              <w:tl2br w:val="nil"/>
              <w:tr2bl w:val="nil"/>
            </w:tcBorders>
            <w:vAlign w:val="center"/>
          </w:tcPr>
          <w:p w14:paraId="30011F87">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bCs/>
                <w:szCs w:val="21"/>
                <w:highlight w:val="none"/>
              </w:rPr>
            </w:pPr>
            <w:r>
              <w:rPr>
                <w:rFonts w:hint="eastAsia" w:ascii="宋体" w:hAnsi="宋体" w:eastAsia="宋体" w:cs="Times New Roman"/>
                <w:bCs/>
                <w:szCs w:val="21"/>
                <w:highlight w:val="none"/>
                <w:lang w:val="en-US" w:eastAsia="zh-CN"/>
              </w:rPr>
              <w:t>10</w:t>
            </w:r>
            <w:r>
              <w:rPr>
                <w:rFonts w:hint="eastAsia" w:ascii="宋体" w:hAnsi="宋体" w:eastAsia="宋体" w:cs="Times New Roman"/>
                <w:bCs/>
                <w:szCs w:val="21"/>
                <w:highlight w:val="none"/>
              </w:rPr>
              <w:t>分</w:t>
            </w:r>
          </w:p>
        </w:tc>
      </w:tr>
      <w:tr w14:paraId="2A9D8B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334" w:type="pct"/>
            <w:vMerge w:val="restart"/>
            <w:tcBorders>
              <w:tl2br w:val="nil"/>
              <w:tr2bl w:val="nil"/>
            </w:tcBorders>
            <w:vAlign w:val="center"/>
          </w:tcPr>
          <w:p w14:paraId="65AE141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Cs/>
                <w:sz w:val="20"/>
                <w:szCs w:val="20"/>
                <w:highlight w:val="none"/>
                <w:lang w:val="en-US" w:eastAsia="zh-CN"/>
              </w:rPr>
              <w:t>4</w:t>
            </w:r>
          </w:p>
        </w:tc>
        <w:tc>
          <w:tcPr>
            <w:tcW w:w="527" w:type="pct"/>
            <w:vMerge w:val="restart"/>
            <w:tcBorders>
              <w:tl2br w:val="nil"/>
              <w:tr2bl w:val="nil"/>
            </w:tcBorders>
            <w:vAlign w:val="center"/>
          </w:tcPr>
          <w:p w14:paraId="37276026">
            <w:pPr>
              <w:keepNext w:val="0"/>
              <w:keepLines w:val="0"/>
              <w:pageBreakBefore w:val="0"/>
              <w:kinsoku/>
              <w:wordWrap/>
              <w:overflowPunct/>
              <w:topLinePunct w:val="0"/>
              <w:autoSpaceDE/>
              <w:autoSpaceDN/>
              <w:bidi w:val="0"/>
              <w:snapToGrid w:val="0"/>
              <w:spacing w:line="280" w:lineRule="exact"/>
              <w:jc w:val="center"/>
              <w:textAlignment w:val="auto"/>
              <w:rPr>
                <w:rFonts w:ascii="宋体" w:hAnsi="宋体" w:eastAsia="宋体" w:cs="Times New Roman"/>
                <w:bCs/>
                <w:sz w:val="20"/>
                <w:szCs w:val="20"/>
                <w:highlight w:val="none"/>
              </w:rPr>
            </w:pPr>
            <w:r>
              <w:rPr>
                <w:rFonts w:hint="eastAsia" w:ascii="宋体" w:hAnsi="宋体" w:eastAsia="宋体" w:cs="Times New Roman"/>
                <w:bCs/>
                <w:sz w:val="20"/>
                <w:szCs w:val="20"/>
                <w:highlight w:val="none"/>
              </w:rPr>
              <w:t>体检场所面积与便利设施</w:t>
            </w:r>
          </w:p>
        </w:tc>
        <w:tc>
          <w:tcPr>
            <w:tcW w:w="3679" w:type="pct"/>
            <w:tcBorders>
              <w:tl2br w:val="nil"/>
              <w:tr2bl w:val="nil"/>
            </w:tcBorders>
            <w:vAlign w:val="center"/>
          </w:tcPr>
          <w:p w14:paraId="34742B1D">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rPr>
              <w:t>投标人拟实施服务的分支机构均具有独立的健康体检场所及侯检区域，总面积不少于 400 平方米，每个检查室面积不少于6平方米。 不满足此项不得分，总面积每增加50平方米的，增加2分，上限不超过10分。</w:t>
            </w:r>
          </w:p>
          <w:p w14:paraId="3655E746">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Cs/>
                <w:sz w:val="20"/>
                <w:szCs w:val="20"/>
                <w:highlight w:val="none"/>
                <w:lang w:val="en-US" w:eastAsia="zh-CN"/>
              </w:rPr>
              <w:t>根据投标人投标文件内列示拟实施服务的门诊机构情况进行评分。</w:t>
            </w:r>
          </w:p>
        </w:tc>
        <w:tc>
          <w:tcPr>
            <w:tcW w:w="458" w:type="pct"/>
            <w:tcBorders>
              <w:tl2br w:val="nil"/>
              <w:tr2bl w:val="nil"/>
            </w:tcBorders>
            <w:vAlign w:val="center"/>
          </w:tcPr>
          <w:p w14:paraId="7FEA1460">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rPr>
              <w:t>10分</w:t>
            </w:r>
          </w:p>
        </w:tc>
      </w:tr>
      <w:tr w14:paraId="1B55DD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120" w:hRule="atLeast"/>
          <w:jc w:val="center"/>
        </w:trPr>
        <w:tc>
          <w:tcPr>
            <w:tcW w:w="334" w:type="pct"/>
            <w:vMerge w:val="continue"/>
            <w:tcBorders>
              <w:tl2br w:val="nil"/>
              <w:tr2bl w:val="nil"/>
            </w:tcBorders>
            <w:vAlign w:val="center"/>
          </w:tcPr>
          <w:p w14:paraId="007B9889">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 w:val="20"/>
                <w:szCs w:val="20"/>
                <w:highlight w:val="none"/>
              </w:rPr>
            </w:pPr>
          </w:p>
        </w:tc>
        <w:tc>
          <w:tcPr>
            <w:tcW w:w="527" w:type="pct"/>
            <w:vMerge w:val="continue"/>
            <w:tcBorders>
              <w:tl2br w:val="nil"/>
              <w:tr2bl w:val="nil"/>
            </w:tcBorders>
            <w:vAlign w:val="center"/>
          </w:tcPr>
          <w:p w14:paraId="10D15992">
            <w:pPr>
              <w:keepNext w:val="0"/>
              <w:keepLines w:val="0"/>
              <w:pageBreakBefore w:val="0"/>
              <w:kinsoku/>
              <w:wordWrap/>
              <w:overflowPunct/>
              <w:topLinePunct w:val="0"/>
              <w:autoSpaceDE/>
              <w:autoSpaceDN/>
              <w:bidi w:val="0"/>
              <w:snapToGrid w:val="0"/>
              <w:spacing w:line="280" w:lineRule="exact"/>
              <w:jc w:val="center"/>
              <w:textAlignment w:val="auto"/>
              <w:rPr>
                <w:rFonts w:ascii="宋体" w:hAnsi="宋体" w:eastAsia="宋体" w:cs="Times New Roman"/>
                <w:bCs/>
                <w:sz w:val="20"/>
                <w:szCs w:val="20"/>
                <w:highlight w:val="none"/>
              </w:rPr>
            </w:pPr>
          </w:p>
        </w:tc>
        <w:tc>
          <w:tcPr>
            <w:tcW w:w="3679" w:type="pct"/>
            <w:tcBorders>
              <w:tl2br w:val="nil"/>
              <w:tr2bl w:val="nil"/>
            </w:tcBorders>
            <w:vAlign w:val="center"/>
          </w:tcPr>
          <w:p w14:paraId="08D68860">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lang w:eastAsia="zh-CN"/>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rPr>
              <w:t>服务方案中有体检中心布局及引导、体检流程及指引、候诊区及引导服务、用餐区域、受检者意见反馈的，每提供1项加</w:t>
            </w:r>
            <w:r>
              <w:rPr>
                <w:rFonts w:hint="eastAsia" w:ascii="宋体" w:hAnsi="宋体" w:eastAsia="宋体" w:cs="Times New Roman"/>
                <w:bCs/>
                <w:sz w:val="20"/>
                <w:szCs w:val="20"/>
                <w:highlight w:val="none"/>
                <w:lang w:val="en-US" w:eastAsia="zh-CN"/>
              </w:rPr>
              <w:t>1</w:t>
            </w:r>
            <w:r>
              <w:rPr>
                <w:rFonts w:hint="eastAsia" w:ascii="宋体" w:hAnsi="宋体" w:eastAsia="宋体" w:cs="Times New Roman"/>
                <w:bCs/>
                <w:sz w:val="20"/>
                <w:szCs w:val="20"/>
                <w:highlight w:val="none"/>
              </w:rPr>
              <w:t>分，上限不超过</w:t>
            </w:r>
            <w:r>
              <w:rPr>
                <w:rFonts w:hint="eastAsia" w:ascii="宋体" w:hAnsi="宋体" w:eastAsia="宋体" w:cs="Times New Roman"/>
                <w:bCs/>
                <w:sz w:val="20"/>
                <w:szCs w:val="20"/>
                <w:highlight w:val="none"/>
                <w:lang w:val="en-US" w:eastAsia="zh-CN"/>
              </w:rPr>
              <w:t>5</w:t>
            </w:r>
            <w:r>
              <w:rPr>
                <w:rFonts w:hint="eastAsia" w:ascii="宋体" w:hAnsi="宋体" w:eastAsia="宋体" w:cs="Times New Roman"/>
                <w:bCs/>
                <w:sz w:val="20"/>
                <w:szCs w:val="20"/>
                <w:highlight w:val="none"/>
              </w:rPr>
              <w:t>分</w:t>
            </w:r>
            <w:r>
              <w:rPr>
                <w:rFonts w:hint="eastAsia" w:ascii="宋体" w:hAnsi="宋体" w:eastAsia="宋体" w:cs="Times New Roman"/>
                <w:bCs/>
                <w:sz w:val="20"/>
                <w:szCs w:val="20"/>
                <w:highlight w:val="none"/>
                <w:lang w:eastAsia="zh-CN"/>
              </w:rPr>
              <w:t>。</w:t>
            </w:r>
          </w:p>
          <w:p w14:paraId="5E4178D9">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lang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Cs/>
                <w:sz w:val="20"/>
                <w:szCs w:val="20"/>
                <w:highlight w:val="none"/>
                <w:lang w:val="en-US" w:eastAsia="zh-CN"/>
              </w:rPr>
              <w:t>根据投标人投标文件内列示拟实施服务的门诊机构情况进行评分。</w:t>
            </w:r>
          </w:p>
        </w:tc>
        <w:tc>
          <w:tcPr>
            <w:tcW w:w="458" w:type="pct"/>
            <w:tcBorders>
              <w:tl2br w:val="nil"/>
              <w:tr2bl w:val="nil"/>
            </w:tcBorders>
            <w:vAlign w:val="center"/>
          </w:tcPr>
          <w:p w14:paraId="39641FF2">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分</w:t>
            </w:r>
          </w:p>
        </w:tc>
      </w:tr>
      <w:tr w14:paraId="30812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306" w:hRule="atLeast"/>
          <w:jc w:val="center"/>
        </w:trPr>
        <w:tc>
          <w:tcPr>
            <w:tcW w:w="334" w:type="pct"/>
            <w:tcBorders>
              <w:tl2br w:val="nil"/>
              <w:tr2bl w:val="nil"/>
            </w:tcBorders>
            <w:vAlign w:val="center"/>
          </w:tcPr>
          <w:p w14:paraId="7F55AD9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Cs/>
                <w:sz w:val="20"/>
                <w:szCs w:val="20"/>
                <w:highlight w:val="none"/>
                <w:lang w:val="en-US" w:eastAsia="zh-CN"/>
              </w:rPr>
              <w:t>5</w:t>
            </w:r>
          </w:p>
        </w:tc>
        <w:tc>
          <w:tcPr>
            <w:tcW w:w="527" w:type="pct"/>
            <w:tcBorders>
              <w:tl2br w:val="nil"/>
              <w:tr2bl w:val="nil"/>
            </w:tcBorders>
            <w:vAlign w:val="center"/>
          </w:tcPr>
          <w:p w14:paraId="477EE13B">
            <w:pPr>
              <w:keepNext w:val="0"/>
              <w:keepLines w:val="0"/>
              <w:pageBreakBefore w:val="0"/>
              <w:kinsoku/>
              <w:wordWrap/>
              <w:overflowPunct/>
              <w:topLinePunct w:val="0"/>
              <w:autoSpaceDE/>
              <w:autoSpaceDN/>
              <w:bidi w:val="0"/>
              <w:snapToGrid w:val="0"/>
              <w:spacing w:line="280" w:lineRule="exact"/>
              <w:jc w:val="center"/>
              <w:textAlignment w:val="auto"/>
              <w:rPr>
                <w:rFonts w:ascii="宋体" w:hAnsi="宋体" w:eastAsia="宋体" w:cs="Times New Roman"/>
                <w:bCs/>
                <w:sz w:val="20"/>
                <w:szCs w:val="20"/>
                <w:highlight w:val="none"/>
              </w:rPr>
            </w:pPr>
            <w:r>
              <w:rPr>
                <w:rFonts w:hint="eastAsia" w:ascii="宋体" w:hAnsi="宋体" w:eastAsia="宋体" w:cs="Times New Roman"/>
                <w:bCs/>
                <w:sz w:val="20"/>
                <w:szCs w:val="20"/>
                <w:highlight w:val="none"/>
              </w:rPr>
              <w:t>服务团队资质</w:t>
            </w:r>
          </w:p>
        </w:tc>
        <w:tc>
          <w:tcPr>
            <w:tcW w:w="3679" w:type="pct"/>
            <w:tcBorders>
              <w:tl2br w:val="nil"/>
              <w:tr2bl w:val="nil"/>
            </w:tcBorders>
            <w:vAlign w:val="center"/>
          </w:tcPr>
          <w:p w14:paraId="79569B6C">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lang w:eastAsia="zh-CN"/>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rPr>
              <w:t>由评标专家对投标人服务方案内拟体检责任医师副主任医师以上员额实施比对，副主任以上医师员额最多的，此项得满分，较第一名每减少1位，扣减2分</w:t>
            </w:r>
            <w:r>
              <w:rPr>
                <w:rFonts w:hint="eastAsia" w:ascii="宋体" w:hAnsi="宋体" w:eastAsia="宋体" w:cs="Times New Roman"/>
                <w:bCs/>
                <w:sz w:val="20"/>
                <w:szCs w:val="20"/>
                <w:highlight w:val="none"/>
                <w:lang w:eastAsia="zh-CN"/>
              </w:rPr>
              <w:t>。</w:t>
            </w:r>
          </w:p>
          <w:p w14:paraId="4188E772">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Cs/>
                <w:sz w:val="20"/>
                <w:szCs w:val="20"/>
                <w:highlight w:val="none"/>
                <w:lang w:val="en-US" w:eastAsia="zh-CN"/>
              </w:rPr>
              <w:t>根据投标人投标文件提供的</w:t>
            </w:r>
            <w:r>
              <w:rPr>
                <w:rFonts w:hint="eastAsia" w:ascii="宋体" w:hAnsi="宋体" w:eastAsia="宋体" w:cs="Times New Roman"/>
                <w:b w:val="0"/>
                <w:bCs/>
                <w:sz w:val="20"/>
                <w:szCs w:val="20"/>
                <w:highlight w:val="none"/>
                <w:lang w:val="en-US" w:eastAsia="zh-CN"/>
              </w:rPr>
              <w:t>体检责任医师员额名单（格式自拟）进行评分。</w:t>
            </w:r>
          </w:p>
        </w:tc>
        <w:tc>
          <w:tcPr>
            <w:tcW w:w="458" w:type="pct"/>
            <w:tcBorders>
              <w:tl2br w:val="nil"/>
              <w:tr2bl w:val="nil"/>
            </w:tcBorders>
            <w:vAlign w:val="center"/>
          </w:tcPr>
          <w:p w14:paraId="44352E7D">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rPr>
              <w:t>10分</w:t>
            </w:r>
          </w:p>
        </w:tc>
      </w:tr>
      <w:tr w14:paraId="1A03EB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114" w:hRule="atLeast"/>
          <w:jc w:val="center"/>
        </w:trPr>
        <w:tc>
          <w:tcPr>
            <w:tcW w:w="334" w:type="pct"/>
            <w:tcBorders>
              <w:tl2br w:val="nil"/>
              <w:tr2bl w:val="nil"/>
            </w:tcBorders>
            <w:vAlign w:val="center"/>
          </w:tcPr>
          <w:p w14:paraId="475FB651">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Cs/>
                <w:sz w:val="20"/>
                <w:szCs w:val="20"/>
                <w:highlight w:val="none"/>
                <w:lang w:val="en-US" w:eastAsia="zh-CN"/>
              </w:rPr>
              <w:t>6</w:t>
            </w:r>
          </w:p>
        </w:tc>
        <w:tc>
          <w:tcPr>
            <w:tcW w:w="527" w:type="pct"/>
            <w:tcBorders>
              <w:tl2br w:val="nil"/>
              <w:tr2bl w:val="nil"/>
            </w:tcBorders>
            <w:vAlign w:val="center"/>
          </w:tcPr>
          <w:p w14:paraId="7C1E5157">
            <w:pPr>
              <w:keepNext w:val="0"/>
              <w:keepLines w:val="0"/>
              <w:pageBreakBefore w:val="0"/>
              <w:kinsoku/>
              <w:wordWrap/>
              <w:overflowPunct/>
              <w:topLinePunct w:val="0"/>
              <w:autoSpaceDE/>
              <w:autoSpaceDN/>
              <w:bidi w:val="0"/>
              <w:snapToGrid w:val="0"/>
              <w:spacing w:line="280" w:lineRule="exact"/>
              <w:jc w:val="center"/>
              <w:textAlignment w:val="auto"/>
              <w:rPr>
                <w:rFonts w:ascii="宋体" w:hAnsi="宋体" w:eastAsia="宋体" w:cs="Times New Roman"/>
                <w:bCs/>
                <w:sz w:val="20"/>
                <w:szCs w:val="20"/>
                <w:highlight w:val="none"/>
              </w:rPr>
            </w:pPr>
            <w:r>
              <w:rPr>
                <w:rFonts w:hint="eastAsia" w:ascii="宋体" w:hAnsi="宋体" w:eastAsia="宋体" w:cs="Times New Roman"/>
                <w:bCs/>
                <w:sz w:val="20"/>
                <w:szCs w:val="20"/>
                <w:highlight w:val="none"/>
              </w:rPr>
              <w:t>信息系统建设、健康档案管理与检后服务</w:t>
            </w:r>
          </w:p>
        </w:tc>
        <w:tc>
          <w:tcPr>
            <w:tcW w:w="3679" w:type="pct"/>
            <w:tcBorders>
              <w:tl2br w:val="nil"/>
              <w:tr2bl w:val="nil"/>
            </w:tcBorders>
            <w:vAlign w:val="center"/>
          </w:tcPr>
          <w:p w14:paraId="749F7D29">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eastAsia" w:ascii="宋体" w:hAnsi="宋体" w:eastAsia="宋体" w:cs="Times New Roman"/>
                <w:b/>
                <w:bCs w:val="0"/>
                <w:sz w:val="20"/>
                <w:szCs w:val="20"/>
                <w:highlight w:val="none"/>
                <w:lang w:val="en-US" w:eastAsia="zh-CN"/>
              </w:rPr>
            </w:pPr>
            <w:r>
              <w:rPr>
                <w:rFonts w:hint="eastAsia" w:ascii="宋体" w:hAnsi="宋体" w:eastAsia="宋体" w:cs="Times New Roman"/>
                <w:b/>
                <w:bCs w:val="0"/>
                <w:sz w:val="20"/>
                <w:szCs w:val="20"/>
                <w:highlight w:val="none"/>
                <w:lang w:val="en-US" w:eastAsia="zh-CN"/>
              </w:rPr>
              <w:t>评审标准：</w:t>
            </w:r>
          </w:p>
          <w:p w14:paraId="28601A1E">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ascii="宋体" w:hAnsi="宋体" w:eastAsia="宋体" w:cs="Times New Roman"/>
                <w:bCs/>
                <w:sz w:val="20"/>
                <w:szCs w:val="20"/>
                <w:highlight w:val="none"/>
              </w:rPr>
            </w:pPr>
            <w:r>
              <w:rPr>
                <w:rFonts w:hint="eastAsia" w:ascii="宋体" w:hAnsi="宋体" w:eastAsia="宋体" w:cs="Times New Roman"/>
                <w:bCs/>
                <w:sz w:val="20"/>
                <w:szCs w:val="20"/>
                <w:highlight w:val="none"/>
              </w:rPr>
              <w:t>(1)</w:t>
            </w:r>
            <w:r>
              <w:rPr>
                <w:rFonts w:hint="eastAsia" w:ascii="宋体" w:hAnsi="宋体" w:eastAsia="宋体" w:cs="Times New Roman"/>
                <w:bCs/>
                <w:sz w:val="20"/>
                <w:szCs w:val="20"/>
                <w:highlight w:val="none"/>
                <w:lang w:val="en-US" w:eastAsia="zh-CN"/>
              </w:rPr>
              <w:t>投标人</w:t>
            </w:r>
            <w:r>
              <w:rPr>
                <w:rFonts w:hint="eastAsia" w:ascii="宋体" w:hAnsi="宋体" w:eastAsia="宋体" w:cs="Times New Roman"/>
                <w:bCs/>
                <w:sz w:val="20"/>
                <w:szCs w:val="20"/>
                <w:highlight w:val="none"/>
              </w:rPr>
              <w:t>具有手机端健康体检软件或微信小程序可用于健康体</w:t>
            </w:r>
          </w:p>
          <w:p w14:paraId="49B089CC">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lang w:eastAsia="zh-CN"/>
              </w:rPr>
            </w:pPr>
            <w:r>
              <w:rPr>
                <w:rFonts w:hint="eastAsia" w:ascii="宋体" w:hAnsi="宋体" w:eastAsia="宋体" w:cs="Times New Roman"/>
                <w:bCs/>
                <w:sz w:val="20"/>
                <w:szCs w:val="20"/>
                <w:highlight w:val="none"/>
              </w:rPr>
              <w:t>检线上预约，可随时提供预约服务的，本项得2分</w:t>
            </w:r>
            <w:r>
              <w:rPr>
                <w:rFonts w:hint="eastAsia" w:ascii="宋体" w:hAnsi="宋体" w:eastAsia="宋体" w:cs="Times New Roman"/>
                <w:bCs/>
                <w:sz w:val="20"/>
                <w:szCs w:val="20"/>
                <w:highlight w:val="none"/>
                <w:lang w:eastAsia="zh-CN"/>
              </w:rPr>
              <w:t>；</w:t>
            </w:r>
          </w:p>
          <w:p w14:paraId="30F081A4">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ascii="宋体" w:hAnsi="宋体" w:eastAsia="宋体" w:cs="Times New Roman"/>
                <w:bCs/>
                <w:sz w:val="20"/>
                <w:szCs w:val="20"/>
                <w:highlight w:val="none"/>
              </w:rPr>
            </w:pPr>
            <w:r>
              <w:rPr>
                <w:rFonts w:hint="eastAsia" w:ascii="宋体" w:hAnsi="宋体" w:eastAsia="宋体" w:cs="Times New Roman"/>
                <w:bCs/>
                <w:sz w:val="20"/>
                <w:szCs w:val="20"/>
                <w:highlight w:val="none"/>
              </w:rPr>
              <w:t>(2)</w:t>
            </w:r>
            <w:r>
              <w:rPr>
                <w:rFonts w:hint="eastAsia" w:ascii="宋体" w:hAnsi="宋体" w:eastAsia="宋体" w:cs="Times New Roman"/>
                <w:bCs/>
                <w:sz w:val="20"/>
                <w:szCs w:val="20"/>
                <w:highlight w:val="none"/>
                <w:lang w:val="en-US" w:eastAsia="zh-CN"/>
              </w:rPr>
              <w:t>投标人</w:t>
            </w:r>
            <w:r>
              <w:rPr>
                <w:rFonts w:hint="eastAsia" w:ascii="宋体" w:hAnsi="宋体" w:eastAsia="宋体" w:cs="Times New Roman"/>
                <w:bCs/>
                <w:sz w:val="20"/>
                <w:szCs w:val="20"/>
                <w:highlight w:val="none"/>
              </w:rPr>
              <w:t>具有线上电子健康档案信息与体检报告数据查询功能的本项得2分；</w:t>
            </w:r>
          </w:p>
          <w:p w14:paraId="07488FCD">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rPr>
            </w:pPr>
            <w:r>
              <w:rPr>
                <w:rFonts w:hint="eastAsia" w:ascii="宋体" w:hAnsi="宋体" w:eastAsia="宋体" w:cs="Times New Roman"/>
                <w:bCs/>
                <w:sz w:val="20"/>
                <w:szCs w:val="20"/>
                <w:highlight w:val="none"/>
              </w:rPr>
              <w:t>(3)</w:t>
            </w:r>
            <w:r>
              <w:rPr>
                <w:rFonts w:hint="eastAsia" w:ascii="宋体" w:hAnsi="宋体" w:eastAsia="宋体" w:cs="Times New Roman"/>
                <w:bCs/>
                <w:sz w:val="20"/>
                <w:szCs w:val="20"/>
                <w:highlight w:val="none"/>
                <w:lang w:val="en-US" w:eastAsia="zh-CN"/>
              </w:rPr>
              <w:t>投标人可</w:t>
            </w:r>
            <w:r>
              <w:rPr>
                <w:rFonts w:hint="eastAsia" w:ascii="宋体" w:hAnsi="宋体" w:eastAsia="宋体" w:cs="Times New Roman"/>
                <w:bCs/>
                <w:sz w:val="20"/>
                <w:szCs w:val="20"/>
                <w:highlight w:val="none"/>
              </w:rPr>
              <w:t>提供固定客服电话，有专业医务人员提供检后咨询解答服务的，本项得1分。</w:t>
            </w:r>
          </w:p>
          <w:p w14:paraId="294B3E03">
            <w:pPr>
              <w:keepNext w:val="0"/>
              <w:keepLines w:val="0"/>
              <w:pageBreakBefore w:val="0"/>
              <w:widowControl/>
              <w:shd w:val="clear" w:color="auto" w:fill="FFFFFF"/>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Cs/>
                <w:sz w:val="20"/>
                <w:szCs w:val="20"/>
                <w:highlight w:val="none"/>
                <w:lang w:val="en-US" w:eastAsia="zh-CN"/>
              </w:rPr>
              <w:t>根据投标人投标文件提供服务方案内容进行评分。</w:t>
            </w:r>
          </w:p>
        </w:tc>
        <w:tc>
          <w:tcPr>
            <w:tcW w:w="458" w:type="pct"/>
            <w:tcBorders>
              <w:tl2br w:val="nil"/>
              <w:tr2bl w:val="nil"/>
            </w:tcBorders>
            <w:vAlign w:val="center"/>
          </w:tcPr>
          <w:p w14:paraId="55819A95">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lang w:val="en-US" w:eastAsia="zh-CN"/>
              </w:rPr>
              <w:t>5</w:t>
            </w:r>
            <w:r>
              <w:rPr>
                <w:rFonts w:hint="eastAsia" w:ascii="宋体" w:hAnsi="宋体" w:eastAsia="宋体" w:cs="Times New Roman"/>
                <w:bCs/>
                <w:szCs w:val="21"/>
                <w:highlight w:val="none"/>
              </w:rPr>
              <w:t>分</w:t>
            </w:r>
          </w:p>
        </w:tc>
      </w:tr>
      <w:tr w14:paraId="5F6443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630" w:hRule="atLeast"/>
          <w:jc w:val="center"/>
        </w:trPr>
        <w:tc>
          <w:tcPr>
            <w:tcW w:w="334" w:type="pct"/>
            <w:tcBorders>
              <w:tl2br w:val="nil"/>
              <w:tr2bl w:val="nil"/>
            </w:tcBorders>
            <w:vAlign w:val="center"/>
          </w:tcPr>
          <w:p w14:paraId="4D51B976">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bCs/>
                <w:sz w:val="20"/>
                <w:szCs w:val="20"/>
                <w:highlight w:val="none"/>
                <w:lang w:eastAsia="zh-CN"/>
              </w:rPr>
            </w:pPr>
            <w:r>
              <w:rPr>
                <w:rFonts w:hint="eastAsia" w:ascii="宋体" w:hAnsi="宋体" w:eastAsia="宋体" w:cs="Times New Roman"/>
                <w:bCs/>
                <w:sz w:val="20"/>
                <w:szCs w:val="20"/>
                <w:highlight w:val="none"/>
                <w:lang w:val="en-US" w:eastAsia="zh-CN"/>
              </w:rPr>
              <w:t>7</w:t>
            </w:r>
          </w:p>
        </w:tc>
        <w:tc>
          <w:tcPr>
            <w:tcW w:w="527" w:type="pct"/>
            <w:tcBorders>
              <w:tl2br w:val="nil"/>
              <w:tr2bl w:val="nil"/>
            </w:tcBorders>
            <w:vAlign w:val="center"/>
          </w:tcPr>
          <w:p w14:paraId="314A22A1">
            <w:pPr>
              <w:keepNext w:val="0"/>
              <w:keepLines w:val="0"/>
              <w:pageBreakBefore w:val="0"/>
              <w:kinsoku/>
              <w:wordWrap/>
              <w:overflowPunct/>
              <w:topLinePunct w:val="0"/>
              <w:autoSpaceDE/>
              <w:autoSpaceDN/>
              <w:bidi w:val="0"/>
              <w:snapToGrid w:val="0"/>
              <w:spacing w:line="280" w:lineRule="exact"/>
              <w:jc w:val="center"/>
              <w:textAlignment w:val="auto"/>
              <w:rPr>
                <w:rStyle w:val="21"/>
                <w:rFonts w:ascii="宋体" w:hAnsi="宋体" w:eastAsia="宋体" w:cs="Times New Roman"/>
                <w:bCs/>
                <w:sz w:val="20"/>
                <w:szCs w:val="20"/>
                <w:highlight w:val="none"/>
              </w:rPr>
            </w:pPr>
            <w:r>
              <w:rPr>
                <w:rStyle w:val="21"/>
                <w:rFonts w:hint="eastAsia" w:ascii="宋体" w:hAnsi="宋体" w:eastAsia="宋体" w:cs="Times New Roman"/>
                <w:bCs/>
                <w:sz w:val="20"/>
                <w:szCs w:val="20"/>
                <w:highlight w:val="none"/>
              </w:rPr>
              <w:t>体检项目丰富性</w:t>
            </w:r>
          </w:p>
        </w:tc>
        <w:tc>
          <w:tcPr>
            <w:tcW w:w="3679" w:type="pct"/>
            <w:tcBorders>
              <w:tl2br w:val="nil"/>
              <w:tr2bl w:val="nil"/>
            </w:tcBorders>
            <w:vAlign w:val="center"/>
          </w:tcPr>
          <w:p w14:paraId="050242D6">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Cs/>
                <w:sz w:val="20"/>
                <w:szCs w:val="20"/>
                <w:highlight w:val="none"/>
              </w:rPr>
              <w:t>以招标文件要求的</w:t>
            </w:r>
            <w:r>
              <w:rPr>
                <w:rFonts w:hint="eastAsia" w:ascii="宋体" w:hAnsi="宋体" w:eastAsia="宋体" w:cs="Times New Roman"/>
                <w:bCs/>
                <w:sz w:val="20"/>
                <w:szCs w:val="20"/>
                <w:highlight w:val="none"/>
                <w:lang w:val="en-US" w:eastAsia="zh-CN"/>
              </w:rPr>
              <w:t>体检套餐</w:t>
            </w:r>
            <w:r>
              <w:rPr>
                <w:rFonts w:hint="eastAsia" w:ascii="宋体" w:hAnsi="宋体" w:eastAsia="宋体" w:cs="Times New Roman"/>
                <w:bCs/>
                <w:sz w:val="20"/>
                <w:szCs w:val="20"/>
                <w:highlight w:val="none"/>
              </w:rPr>
              <w:t>基准项目为标准，在原基准项目上提供检查方式升级优化的，每提供1项加3分；在原基准项目以外新增1个检查项目的，每新增1项加5分，上限不超过30分。</w:t>
            </w:r>
          </w:p>
          <w:p w14:paraId="3FFE78D3">
            <w:pPr>
              <w:keepNext w:val="0"/>
              <w:keepLines w:val="0"/>
              <w:pageBreakBefore w:val="0"/>
              <w:widowControl/>
              <w:kinsoku/>
              <w:wordWrap/>
              <w:overflowPunct/>
              <w:topLinePunct w:val="0"/>
              <w:autoSpaceDE/>
              <w:autoSpaceDN/>
              <w:bidi w:val="0"/>
              <w:spacing w:line="280" w:lineRule="exact"/>
              <w:jc w:val="both"/>
              <w:textAlignment w:val="auto"/>
              <w:rPr>
                <w:rFonts w:hint="default"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宋体" w:hAnsi="宋体" w:eastAsia="宋体" w:cs="Times New Roman"/>
                <w:bCs/>
                <w:sz w:val="20"/>
                <w:szCs w:val="20"/>
                <w:highlight w:val="none"/>
                <w:lang w:val="en-US" w:eastAsia="zh-CN"/>
              </w:rPr>
              <w:t>本项目基准体检项目详见本招标文件格式4/一、390元体检套餐标准、二、500元体检套餐标准。</w:t>
            </w:r>
          </w:p>
        </w:tc>
        <w:tc>
          <w:tcPr>
            <w:tcW w:w="458" w:type="pct"/>
            <w:tcBorders>
              <w:tl2br w:val="nil"/>
              <w:tr2bl w:val="nil"/>
            </w:tcBorders>
            <w:vAlign w:val="center"/>
          </w:tcPr>
          <w:p w14:paraId="2A76F713">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rPr>
              <w:t>30分</w:t>
            </w:r>
          </w:p>
        </w:tc>
      </w:tr>
      <w:tr w14:paraId="7E236E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528" w:hRule="atLeast"/>
          <w:jc w:val="center"/>
        </w:trPr>
        <w:tc>
          <w:tcPr>
            <w:tcW w:w="334" w:type="pct"/>
            <w:tcBorders>
              <w:tl2br w:val="nil"/>
              <w:tr2bl w:val="nil"/>
            </w:tcBorders>
            <w:vAlign w:val="center"/>
          </w:tcPr>
          <w:p w14:paraId="111DC90E">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hint="eastAsia" w:ascii="宋体" w:hAnsi="宋体" w:eastAsia="宋体" w:cs="Times New Roman"/>
                <w:bCs/>
                <w:sz w:val="20"/>
                <w:szCs w:val="20"/>
                <w:highlight w:val="none"/>
                <w:lang w:eastAsia="zh-CN"/>
              </w:rPr>
            </w:pPr>
            <w:r>
              <w:rPr>
                <w:rFonts w:hint="eastAsia" w:ascii="宋体" w:hAnsi="宋体" w:eastAsia="宋体" w:cs="Times New Roman"/>
                <w:bCs/>
                <w:sz w:val="20"/>
                <w:szCs w:val="20"/>
                <w:highlight w:val="none"/>
                <w:lang w:val="en-US" w:eastAsia="zh-CN"/>
              </w:rPr>
              <w:t>8</w:t>
            </w:r>
          </w:p>
        </w:tc>
        <w:tc>
          <w:tcPr>
            <w:tcW w:w="527" w:type="pct"/>
            <w:tcBorders>
              <w:tl2br w:val="nil"/>
              <w:tr2bl w:val="nil"/>
            </w:tcBorders>
            <w:vAlign w:val="center"/>
          </w:tcPr>
          <w:p w14:paraId="3978D540">
            <w:pPr>
              <w:keepNext w:val="0"/>
              <w:keepLines w:val="0"/>
              <w:pageBreakBefore w:val="0"/>
              <w:kinsoku/>
              <w:wordWrap/>
              <w:overflowPunct/>
              <w:topLinePunct w:val="0"/>
              <w:autoSpaceDE/>
              <w:autoSpaceDN/>
              <w:bidi w:val="0"/>
              <w:snapToGrid w:val="0"/>
              <w:spacing w:line="280" w:lineRule="exact"/>
              <w:jc w:val="center"/>
              <w:textAlignment w:val="auto"/>
              <w:rPr>
                <w:rStyle w:val="21"/>
                <w:rFonts w:ascii="宋体" w:hAnsi="宋体" w:eastAsia="宋体" w:cs="Times New Roman"/>
                <w:bCs/>
                <w:sz w:val="20"/>
                <w:szCs w:val="20"/>
                <w:highlight w:val="none"/>
              </w:rPr>
            </w:pPr>
            <w:r>
              <w:rPr>
                <w:rStyle w:val="21"/>
                <w:rFonts w:hint="eastAsia" w:ascii="宋体" w:hAnsi="宋体" w:eastAsia="宋体" w:cs="Times New Roman"/>
                <w:bCs/>
                <w:sz w:val="20"/>
                <w:szCs w:val="20"/>
                <w:highlight w:val="none"/>
              </w:rPr>
              <w:t>员工</w:t>
            </w:r>
            <w:r>
              <w:rPr>
                <w:rStyle w:val="21"/>
                <w:rFonts w:hint="eastAsia" w:ascii="宋体" w:hAnsi="宋体" w:eastAsia="宋体" w:cs="Times New Roman"/>
                <w:bCs/>
                <w:sz w:val="20"/>
                <w:szCs w:val="20"/>
                <w:highlight w:val="none"/>
                <w:lang w:eastAsia="zh-CN"/>
              </w:rPr>
              <w:t>自费检查</w:t>
            </w:r>
            <w:r>
              <w:rPr>
                <w:rStyle w:val="21"/>
                <w:rFonts w:hint="eastAsia" w:ascii="宋体" w:hAnsi="宋体" w:eastAsia="宋体" w:cs="Times New Roman"/>
                <w:bCs/>
                <w:sz w:val="20"/>
                <w:szCs w:val="20"/>
                <w:highlight w:val="none"/>
              </w:rPr>
              <w:t>体检优惠服务</w:t>
            </w:r>
          </w:p>
        </w:tc>
        <w:tc>
          <w:tcPr>
            <w:tcW w:w="3679" w:type="pct"/>
            <w:tcBorders>
              <w:tl2br w:val="nil"/>
              <w:tr2bl w:val="nil"/>
            </w:tcBorders>
            <w:vAlign w:val="center"/>
          </w:tcPr>
          <w:p w14:paraId="5B0DF7F9">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rPr>
            </w:pPr>
            <w:r>
              <w:rPr>
                <w:rFonts w:hint="eastAsia" w:ascii="宋体" w:hAnsi="宋体" w:eastAsia="宋体" w:cs="Times New Roman"/>
                <w:b/>
                <w:bCs w:val="0"/>
                <w:sz w:val="20"/>
                <w:szCs w:val="20"/>
                <w:highlight w:val="none"/>
                <w:lang w:val="en-US" w:eastAsia="zh-CN"/>
              </w:rPr>
              <w:t>评审标准：</w:t>
            </w:r>
            <w:r>
              <w:rPr>
                <w:rFonts w:hint="eastAsia" w:ascii="宋体" w:hAnsi="宋体" w:eastAsia="宋体" w:cs="Times New Roman"/>
                <w:b w:val="0"/>
                <w:bCs/>
                <w:sz w:val="20"/>
                <w:szCs w:val="20"/>
                <w:highlight w:val="none"/>
                <w:lang w:val="en-US" w:eastAsia="zh-CN"/>
              </w:rPr>
              <w:t>根据</w:t>
            </w:r>
            <w:r>
              <w:rPr>
                <w:rFonts w:hint="eastAsia" w:ascii="宋体" w:hAnsi="宋体" w:eastAsia="宋体" w:cs="Times New Roman"/>
                <w:bCs/>
                <w:sz w:val="20"/>
                <w:szCs w:val="20"/>
                <w:highlight w:val="none"/>
              </w:rPr>
              <w:t>投标人承诺对</w:t>
            </w:r>
            <w:r>
              <w:rPr>
                <w:rFonts w:hint="eastAsia" w:ascii="宋体" w:hAnsi="宋体" w:eastAsia="宋体" w:cs="Times New Roman"/>
                <w:bCs/>
                <w:sz w:val="20"/>
                <w:szCs w:val="20"/>
                <w:highlight w:val="none"/>
                <w:lang w:val="en-US" w:eastAsia="zh-CN"/>
              </w:rPr>
              <w:t>招标人外派</w:t>
            </w:r>
            <w:r>
              <w:rPr>
                <w:rFonts w:hint="eastAsia" w:ascii="宋体" w:hAnsi="宋体" w:eastAsia="宋体" w:cs="Times New Roman"/>
                <w:bCs/>
                <w:sz w:val="20"/>
                <w:szCs w:val="20"/>
                <w:highlight w:val="none"/>
              </w:rPr>
              <w:t>员工单独</w:t>
            </w:r>
            <w:r>
              <w:rPr>
                <w:rFonts w:hint="eastAsia" w:ascii="宋体" w:hAnsi="宋体" w:eastAsia="宋体" w:cs="Times New Roman"/>
                <w:bCs/>
                <w:sz w:val="20"/>
                <w:szCs w:val="20"/>
                <w:highlight w:val="none"/>
                <w:lang w:val="en-US" w:eastAsia="zh-CN"/>
              </w:rPr>
              <w:t>增加体检项目价格折扣优惠情况进行</w:t>
            </w:r>
            <w:r>
              <w:rPr>
                <w:rFonts w:hint="eastAsia" w:ascii="宋体" w:hAnsi="宋体" w:eastAsia="宋体" w:cs="Times New Roman"/>
                <w:bCs/>
                <w:sz w:val="20"/>
                <w:szCs w:val="20"/>
                <w:highlight w:val="none"/>
              </w:rPr>
              <w:t>排序评分，优惠程度最高得</w:t>
            </w:r>
            <w:r>
              <w:rPr>
                <w:rFonts w:hint="eastAsia" w:ascii="宋体" w:hAnsi="宋体" w:eastAsia="宋体" w:cs="Times New Roman"/>
                <w:bCs/>
                <w:sz w:val="20"/>
                <w:szCs w:val="20"/>
                <w:highlight w:val="none"/>
                <w:lang w:val="en-US" w:eastAsia="zh-CN"/>
              </w:rPr>
              <w:t>10</w:t>
            </w:r>
            <w:r>
              <w:rPr>
                <w:rFonts w:hint="eastAsia" w:ascii="宋体" w:hAnsi="宋体" w:eastAsia="宋体" w:cs="Times New Roman"/>
                <w:bCs/>
                <w:sz w:val="20"/>
                <w:szCs w:val="20"/>
                <w:highlight w:val="none"/>
              </w:rPr>
              <w:t>分，</w:t>
            </w:r>
            <w:r>
              <w:rPr>
                <w:rFonts w:hint="eastAsia" w:ascii="宋体" w:hAnsi="宋体" w:eastAsia="宋体" w:cs="Times New Roman"/>
                <w:bCs/>
                <w:sz w:val="20"/>
                <w:szCs w:val="20"/>
                <w:highlight w:val="none"/>
                <w:lang w:val="en-US" w:eastAsia="zh-CN"/>
              </w:rPr>
              <w:t>次高得7分，以此类推</w:t>
            </w:r>
            <w:r>
              <w:rPr>
                <w:rFonts w:hint="eastAsia" w:ascii="宋体" w:hAnsi="宋体" w:eastAsia="宋体" w:cs="Times New Roman"/>
                <w:bCs/>
                <w:sz w:val="20"/>
                <w:szCs w:val="20"/>
                <w:highlight w:val="none"/>
              </w:rPr>
              <w:t>。</w:t>
            </w:r>
          </w:p>
          <w:p w14:paraId="73F167AF">
            <w:pPr>
              <w:keepNext w:val="0"/>
              <w:keepLines w:val="0"/>
              <w:pageBreakBefore w:val="0"/>
              <w:widowControl/>
              <w:kinsoku/>
              <w:wordWrap/>
              <w:overflowPunct/>
              <w:topLinePunct w:val="0"/>
              <w:autoSpaceDE/>
              <w:autoSpaceDN/>
              <w:bidi w:val="0"/>
              <w:spacing w:line="280" w:lineRule="exact"/>
              <w:jc w:val="both"/>
              <w:textAlignment w:val="auto"/>
              <w:rPr>
                <w:rFonts w:hint="eastAsia" w:ascii="宋体" w:hAnsi="宋体" w:eastAsia="宋体" w:cs="Times New Roman"/>
                <w:bCs/>
                <w:sz w:val="20"/>
                <w:szCs w:val="20"/>
                <w:highlight w:val="none"/>
                <w:lang w:val="en-US" w:eastAsia="zh-CN"/>
              </w:rPr>
            </w:pPr>
            <w:r>
              <w:rPr>
                <w:rFonts w:hint="eastAsia" w:ascii="宋体" w:hAnsi="宋体" w:eastAsia="宋体" w:cs="Times New Roman"/>
                <w:b/>
                <w:bCs w:val="0"/>
                <w:sz w:val="20"/>
                <w:szCs w:val="20"/>
                <w:highlight w:val="none"/>
                <w:lang w:val="en-US" w:eastAsia="zh-CN"/>
              </w:rPr>
              <w:t>备注：</w:t>
            </w:r>
            <w:r>
              <w:rPr>
                <w:rFonts w:hint="eastAsia" w:asciiTheme="minorEastAsia" w:hAnsiTheme="minorEastAsia" w:cstheme="minorEastAsia"/>
                <w:b w:val="0"/>
                <w:bCs/>
                <w:sz w:val="20"/>
                <w:szCs w:val="20"/>
                <w:highlight w:val="none"/>
                <w:lang w:val="en-US" w:eastAsia="zh-CN"/>
              </w:rPr>
              <w:t>根据投标人提供的给予的折扣情况进行评分。投标人需提供《服务保价承诺函》，格式详见本项目招标文件附件8《服务保价承诺函》。</w:t>
            </w:r>
          </w:p>
        </w:tc>
        <w:tc>
          <w:tcPr>
            <w:tcW w:w="458" w:type="pct"/>
            <w:tcBorders>
              <w:tl2br w:val="nil"/>
              <w:tr2bl w:val="nil"/>
            </w:tcBorders>
            <w:vAlign w:val="center"/>
          </w:tcPr>
          <w:p w14:paraId="5E823D89">
            <w:pPr>
              <w:keepNext w:val="0"/>
              <w:keepLines w:val="0"/>
              <w:pageBreakBefore w:val="0"/>
              <w:kinsoku/>
              <w:wordWrap/>
              <w:overflowPunct/>
              <w:topLinePunct w:val="0"/>
              <w:autoSpaceDE/>
              <w:autoSpaceDN/>
              <w:bidi w:val="0"/>
              <w:adjustRightInd w:val="0"/>
              <w:snapToGrid w:val="0"/>
              <w:spacing w:line="280" w:lineRule="exact"/>
              <w:jc w:val="center"/>
              <w:textAlignment w:val="auto"/>
              <w:rPr>
                <w:rFonts w:ascii="宋体" w:hAnsi="宋体" w:eastAsia="宋体" w:cs="Times New Roman"/>
                <w:bCs/>
                <w:szCs w:val="21"/>
                <w:highlight w:val="none"/>
              </w:rPr>
            </w:pPr>
            <w:r>
              <w:rPr>
                <w:rFonts w:hint="eastAsia" w:ascii="宋体" w:hAnsi="宋体" w:eastAsia="宋体" w:cs="Times New Roman"/>
                <w:bCs/>
                <w:szCs w:val="21"/>
                <w:highlight w:val="none"/>
                <w:lang w:val="en-US" w:eastAsia="zh-CN"/>
              </w:rPr>
              <w:t>10</w:t>
            </w:r>
            <w:r>
              <w:rPr>
                <w:rFonts w:hint="eastAsia" w:ascii="宋体" w:hAnsi="宋体" w:eastAsia="宋体" w:cs="Times New Roman"/>
                <w:bCs/>
                <w:szCs w:val="21"/>
                <w:highlight w:val="none"/>
              </w:rPr>
              <w:t>分</w:t>
            </w:r>
          </w:p>
        </w:tc>
      </w:tr>
      <w:tr w14:paraId="71ECF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4541" w:type="pct"/>
            <w:gridSpan w:val="3"/>
            <w:tcBorders>
              <w:tl2br w:val="nil"/>
              <w:tr2bl w:val="nil"/>
            </w:tcBorders>
            <w:vAlign w:val="center"/>
          </w:tcPr>
          <w:p w14:paraId="56B6746F">
            <w:pPr>
              <w:keepNext w:val="0"/>
              <w:keepLines w:val="0"/>
              <w:pageBreakBefore w:val="0"/>
              <w:kinsoku/>
              <w:wordWrap/>
              <w:overflowPunct/>
              <w:topLinePunct w:val="0"/>
              <w:autoSpaceDE/>
              <w:autoSpaceDN/>
              <w:bidi w:val="0"/>
              <w:spacing w:line="280" w:lineRule="exact"/>
              <w:jc w:val="center"/>
              <w:textAlignment w:val="auto"/>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合计</w:t>
            </w:r>
          </w:p>
        </w:tc>
        <w:tc>
          <w:tcPr>
            <w:tcW w:w="458" w:type="pct"/>
            <w:tcBorders>
              <w:tl2br w:val="nil"/>
              <w:tr2bl w:val="nil"/>
            </w:tcBorders>
            <w:vAlign w:val="center"/>
          </w:tcPr>
          <w:p w14:paraId="6691108B">
            <w:pPr>
              <w:keepNext w:val="0"/>
              <w:keepLines w:val="0"/>
              <w:pageBreakBefore w:val="0"/>
              <w:widowControl/>
              <w:kinsoku/>
              <w:wordWrap/>
              <w:overflowPunct/>
              <w:topLinePunct w:val="0"/>
              <w:autoSpaceDE/>
              <w:autoSpaceDN/>
              <w:bidi w:val="0"/>
              <w:adjustRightInd w:val="0"/>
              <w:snapToGrid w:val="0"/>
              <w:spacing w:line="280" w:lineRule="exact"/>
              <w:jc w:val="center"/>
              <w:textAlignment w:val="auto"/>
              <w:rPr>
                <w:rFonts w:ascii="Times New Roman" w:hAnsi="Times New Roman" w:eastAsia="宋体" w:cs="Times New Roman"/>
                <w:b/>
                <w:szCs w:val="21"/>
                <w:highlight w:val="none"/>
              </w:rPr>
            </w:pPr>
            <w:r>
              <w:rPr>
                <w:rFonts w:hint="eastAsia" w:ascii="Times New Roman" w:hAnsi="Times New Roman" w:eastAsia="宋体" w:cs="Times New Roman"/>
                <w:b/>
                <w:szCs w:val="21"/>
                <w:highlight w:val="none"/>
              </w:rPr>
              <w:t>100分</w:t>
            </w:r>
          </w:p>
        </w:tc>
      </w:tr>
    </w:tbl>
    <w:p w14:paraId="5BE7B68A">
      <w:pPr>
        <w:keepNext w:val="0"/>
        <w:keepLines w:val="0"/>
        <w:pageBreakBefore w:val="0"/>
        <w:widowControl/>
        <w:kinsoku/>
        <w:wordWrap/>
        <w:overflowPunct/>
        <w:topLinePunct w:val="0"/>
        <w:autoSpaceDE/>
        <w:autoSpaceDN/>
        <w:bidi w:val="0"/>
        <w:adjustRightInd w:val="0"/>
        <w:snapToGrid w:val="0"/>
        <w:spacing w:line="280" w:lineRule="exact"/>
        <w:ind w:firstLine="422" w:firstLineChars="200"/>
        <w:textAlignment w:val="auto"/>
        <w:rPr>
          <w:rFonts w:hint="eastAsia" w:ascii="仿宋" w:hAnsi="仿宋" w:eastAsia="仿宋" w:cs="仿宋"/>
          <w:b/>
          <w:szCs w:val="21"/>
          <w:highlight w:val="none"/>
        </w:rPr>
      </w:pPr>
      <w:r>
        <w:rPr>
          <w:rFonts w:hint="eastAsia" w:ascii="仿宋" w:hAnsi="仿宋" w:eastAsia="仿宋" w:cs="仿宋"/>
          <w:b/>
          <w:szCs w:val="21"/>
          <w:highlight w:val="none"/>
        </w:rPr>
        <w:t>说明：</w:t>
      </w:r>
    </w:p>
    <w:p w14:paraId="16B12AFC">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1.本表评审依据要求的各项证明文件须编入投标文件，复印件加盖投标人公章。</w:t>
      </w:r>
    </w:p>
    <w:p w14:paraId="01365A3D">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_GB2312" w:hAnsi="仿宋_GB2312" w:eastAsia="仿宋_GB2312" w:cs="仿宋_GB2312"/>
          <w:szCs w:val="21"/>
          <w:highlight w:val="none"/>
        </w:rPr>
      </w:pPr>
      <w:r>
        <w:rPr>
          <w:rFonts w:hint="eastAsia" w:ascii="仿宋_GB2312" w:hAnsi="仿宋_GB2312" w:eastAsia="仿宋_GB2312" w:cs="仿宋_GB2312"/>
          <w:szCs w:val="21"/>
          <w:highlight w:val="none"/>
        </w:rPr>
        <w:t>2.表中要求提供相关证明文件的内容，投标文件中须明确加以说明并提供，未按要求提供相关文件或说明不清楚或评标专家组无法凭所提供的材料判断是否得分的情况，一律作不得分处理。</w:t>
      </w:r>
    </w:p>
    <w:p w14:paraId="0B7524B9">
      <w:pPr>
        <w:keepNext/>
        <w:keepLines/>
        <w:widowControl/>
        <w:numPr>
          <w:ilvl w:val="3"/>
          <w:numId w:val="0"/>
        </w:numPr>
        <w:adjustRightInd w:val="0"/>
        <w:snapToGrid w:val="0"/>
        <w:spacing w:line="360" w:lineRule="auto"/>
        <w:jc w:val="left"/>
        <w:outlineLvl w:val="3"/>
        <w:rPr>
          <w:rFonts w:hint="eastAsia" w:ascii="仿宋" w:hAnsi="仿宋" w:eastAsia="仿宋" w:cs="仿宋"/>
          <w:b w:val="0"/>
          <w:bCs/>
          <w:sz w:val="21"/>
          <w:szCs w:val="21"/>
          <w:highlight w:val="none"/>
        </w:rPr>
      </w:pPr>
      <w:r>
        <w:rPr>
          <w:rFonts w:ascii="Arial" w:hAnsi="Arial" w:eastAsia="黑体" w:cs="Times New Roman"/>
          <w:b/>
          <w:sz w:val="28"/>
          <w:szCs w:val="28"/>
          <w:highlight w:val="none"/>
        </w:rPr>
        <w:br w:type="page"/>
      </w:r>
      <w:r>
        <w:rPr>
          <w:rFonts w:hint="eastAsia" w:ascii="仿宋" w:hAnsi="仿宋" w:eastAsia="仿宋" w:cs="仿宋"/>
          <w:b w:val="0"/>
          <w:bCs/>
          <w:sz w:val="21"/>
          <w:szCs w:val="21"/>
          <w:highlight w:val="none"/>
        </w:rPr>
        <w:t xml:space="preserve"> </w:t>
      </w:r>
    </w:p>
    <w:p w14:paraId="5088F85E">
      <w:pPr>
        <w:keepNext/>
        <w:keepLines/>
        <w:widowControl/>
        <w:numPr>
          <w:ilvl w:val="3"/>
          <w:numId w:val="0"/>
        </w:numPr>
        <w:adjustRightInd w:val="0"/>
        <w:snapToGrid w:val="0"/>
        <w:spacing w:line="360" w:lineRule="auto"/>
        <w:ind w:firstLine="420" w:firstLineChars="200"/>
        <w:jc w:val="left"/>
        <w:outlineLvl w:val="3"/>
        <w:rPr>
          <w:rFonts w:hint="eastAsia" w:ascii="方正小标宋简体" w:hAnsi="方正小标宋简体" w:eastAsia="方正小标宋简体" w:cs="方正小标宋简体"/>
          <w:b w:val="0"/>
          <w:bCs/>
          <w:sz w:val="32"/>
          <w:szCs w:val="32"/>
          <w:highlight w:val="none"/>
        </w:rPr>
      </w:pPr>
      <w:r>
        <w:rPr>
          <w:rFonts w:hint="eastAsia" w:ascii="仿宋" w:hAnsi="仿宋" w:eastAsia="仿宋" w:cs="仿宋"/>
          <w:b w:val="0"/>
          <w:bCs/>
          <w:sz w:val="21"/>
          <w:szCs w:val="21"/>
          <w:highlight w:val="none"/>
        </w:rPr>
        <w:t>附表2-1 《价格标评分方法》</w:t>
      </w:r>
    </w:p>
    <w:p w14:paraId="28974A49">
      <w:pPr>
        <w:widowControl/>
        <w:adjustRightInd w:val="0"/>
        <w:snapToGrid w:val="0"/>
        <w:spacing w:line="360" w:lineRule="auto"/>
        <w:jc w:val="center"/>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价格标评分方法</w:t>
      </w:r>
    </w:p>
    <w:tbl>
      <w:tblPr>
        <w:tblStyle w:val="15"/>
        <w:tblW w:w="5099" w:type="pct"/>
        <w:tblInd w:w="-283"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1514"/>
        <w:gridCol w:w="2448"/>
        <w:gridCol w:w="873"/>
        <w:gridCol w:w="3675"/>
      </w:tblGrid>
      <w:tr w14:paraId="71BEA4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396" w:type="pct"/>
            <w:tcBorders>
              <w:tl2br w:val="nil"/>
              <w:tr2bl w:val="nil"/>
            </w:tcBorders>
            <w:vAlign w:val="center"/>
          </w:tcPr>
          <w:p w14:paraId="331E1578">
            <w:pPr>
              <w:spacing w:line="280" w:lineRule="exact"/>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序号</w:t>
            </w:r>
          </w:p>
        </w:tc>
        <w:tc>
          <w:tcPr>
            <w:tcW w:w="819" w:type="pct"/>
            <w:tcBorders>
              <w:tl2br w:val="nil"/>
              <w:tr2bl w:val="nil"/>
            </w:tcBorders>
            <w:vAlign w:val="center"/>
          </w:tcPr>
          <w:p w14:paraId="7ACE969A">
            <w:pPr>
              <w:widowControl/>
              <w:adjustRightInd w:val="0"/>
              <w:snapToGrid w:val="0"/>
              <w:spacing w:line="360" w:lineRule="auto"/>
              <w:ind w:firstLine="211" w:firstLineChars="100"/>
              <w:rPr>
                <w:rFonts w:ascii="宋体" w:hAnsi="宋体" w:eastAsia="宋体" w:cs="Times New Roman"/>
                <w:b/>
                <w:sz w:val="21"/>
                <w:szCs w:val="21"/>
                <w:highlight w:val="none"/>
              </w:rPr>
            </w:pPr>
            <w:r>
              <w:rPr>
                <w:rFonts w:hint="eastAsia" w:ascii="Times New Roman" w:hAnsi="Times New Roman" w:eastAsia="宋体" w:cs="Times New Roman"/>
                <w:b/>
                <w:sz w:val="21"/>
                <w:szCs w:val="21"/>
                <w:highlight w:val="none"/>
              </w:rPr>
              <w:t>评分因素</w:t>
            </w:r>
          </w:p>
        </w:tc>
        <w:tc>
          <w:tcPr>
            <w:tcW w:w="1323" w:type="pct"/>
            <w:tcBorders>
              <w:tl2br w:val="nil"/>
              <w:tr2bl w:val="nil"/>
            </w:tcBorders>
            <w:vAlign w:val="center"/>
          </w:tcPr>
          <w:p w14:paraId="09A6649E">
            <w:pPr>
              <w:widowControl/>
              <w:adjustRightInd w:val="0"/>
              <w:snapToGrid w:val="0"/>
              <w:spacing w:line="360" w:lineRule="auto"/>
              <w:jc w:val="center"/>
              <w:rPr>
                <w:rFonts w:ascii="宋体" w:hAnsi="宋体" w:eastAsia="宋体" w:cs="Times New Roman"/>
                <w:b/>
                <w:sz w:val="21"/>
                <w:szCs w:val="21"/>
                <w:highlight w:val="none"/>
              </w:rPr>
            </w:pPr>
            <w:r>
              <w:rPr>
                <w:rFonts w:hint="eastAsia" w:ascii="Times New Roman" w:hAnsi="Times New Roman" w:eastAsia="宋体" w:cs="Times New Roman"/>
                <w:b/>
                <w:sz w:val="21"/>
                <w:szCs w:val="21"/>
                <w:highlight w:val="none"/>
              </w:rPr>
              <w:t>评分准则</w:t>
            </w:r>
          </w:p>
        </w:tc>
        <w:tc>
          <w:tcPr>
            <w:tcW w:w="472" w:type="pct"/>
            <w:tcBorders>
              <w:tl2br w:val="nil"/>
              <w:tr2bl w:val="nil"/>
            </w:tcBorders>
            <w:vAlign w:val="center"/>
          </w:tcPr>
          <w:p w14:paraId="3BCB03E2">
            <w:pPr>
              <w:widowControl/>
              <w:adjustRightInd w:val="0"/>
              <w:snapToGrid w:val="0"/>
              <w:spacing w:line="360" w:lineRule="auto"/>
              <w:jc w:val="center"/>
              <w:rPr>
                <w:rFonts w:ascii="宋体" w:hAnsi="宋体" w:eastAsia="宋体" w:cs="Times New Roman"/>
                <w:b/>
                <w:sz w:val="21"/>
                <w:szCs w:val="21"/>
                <w:highlight w:val="none"/>
              </w:rPr>
            </w:pPr>
            <w:r>
              <w:rPr>
                <w:rFonts w:hint="eastAsia" w:ascii="Times New Roman" w:hAnsi="Times New Roman" w:eastAsia="宋体" w:cs="Times New Roman"/>
                <w:b/>
                <w:sz w:val="21"/>
                <w:szCs w:val="21"/>
                <w:highlight w:val="none"/>
              </w:rPr>
              <w:t>分值</w:t>
            </w:r>
          </w:p>
        </w:tc>
        <w:tc>
          <w:tcPr>
            <w:tcW w:w="1988" w:type="pct"/>
            <w:tcBorders>
              <w:tl2br w:val="nil"/>
              <w:tr2bl w:val="nil"/>
            </w:tcBorders>
            <w:vAlign w:val="center"/>
          </w:tcPr>
          <w:p w14:paraId="00C68B9A">
            <w:pPr>
              <w:widowControl/>
              <w:adjustRightInd w:val="0"/>
              <w:snapToGrid w:val="0"/>
              <w:spacing w:line="360" w:lineRule="auto"/>
              <w:jc w:val="center"/>
              <w:rPr>
                <w:rFonts w:ascii="宋体" w:hAnsi="宋体" w:eastAsia="宋体" w:cs="Times New Roman"/>
                <w:b/>
                <w:sz w:val="21"/>
                <w:szCs w:val="21"/>
                <w:highlight w:val="none"/>
              </w:rPr>
            </w:pPr>
            <w:r>
              <w:rPr>
                <w:rFonts w:hint="eastAsia" w:ascii="宋体" w:hAnsi="宋体" w:eastAsia="宋体" w:cs="Times New Roman"/>
                <w:b/>
                <w:sz w:val="21"/>
                <w:szCs w:val="21"/>
                <w:highlight w:val="none"/>
              </w:rPr>
              <w:t>备注</w:t>
            </w:r>
          </w:p>
        </w:tc>
      </w:tr>
      <w:tr w14:paraId="3A5CDBE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02" w:hRule="atLeast"/>
        </w:trPr>
        <w:tc>
          <w:tcPr>
            <w:tcW w:w="396" w:type="pct"/>
            <w:tcBorders>
              <w:tl2br w:val="nil"/>
              <w:tr2bl w:val="nil"/>
            </w:tcBorders>
            <w:vAlign w:val="center"/>
          </w:tcPr>
          <w:p w14:paraId="29EBAB1E">
            <w:pPr>
              <w:spacing w:line="280" w:lineRule="exact"/>
              <w:jc w:val="center"/>
              <w:rPr>
                <w:rFonts w:ascii="宋体" w:hAnsi="宋体" w:eastAsia="宋体" w:cs="Times New Roman"/>
                <w:bCs/>
                <w:sz w:val="21"/>
                <w:szCs w:val="21"/>
                <w:highlight w:val="none"/>
              </w:rPr>
            </w:pPr>
            <w:r>
              <w:rPr>
                <w:rFonts w:hint="eastAsia" w:ascii="宋体" w:hAnsi="宋体" w:eastAsia="宋体" w:cs="Times New Roman"/>
                <w:bCs/>
                <w:sz w:val="21"/>
                <w:szCs w:val="21"/>
                <w:highlight w:val="none"/>
              </w:rPr>
              <w:t>1</w:t>
            </w:r>
          </w:p>
        </w:tc>
        <w:tc>
          <w:tcPr>
            <w:tcW w:w="819" w:type="pct"/>
            <w:tcBorders>
              <w:tl2br w:val="nil"/>
              <w:tr2bl w:val="nil"/>
            </w:tcBorders>
            <w:vAlign w:val="center"/>
          </w:tcPr>
          <w:p w14:paraId="00CE066F">
            <w:pPr>
              <w:spacing w:line="280" w:lineRule="exact"/>
              <w:jc w:val="center"/>
              <w:rPr>
                <w:rFonts w:ascii="宋体" w:hAnsi="宋体" w:eastAsia="宋体" w:cs="Times New Roman"/>
                <w:bCs/>
                <w:sz w:val="21"/>
                <w:szCs w:val="21"/>
                <w:highlight w:val="none"/>
              </w:rPr>
            </w:pPr>
            <w:r>
              <w:rPr>
                <w:rFonts w:hint="eastAsia" w:ascii="宋体" w:hAnsi="宋体" w:eastAsia="宋体" w:cs="Times New Roman"/>
                <w:bCs/>
                <w:sz w:val="21"/>
                <w:szCs w:val="21"/>
                <w:highlight w:val="none"/>
              </w:rPr>
              <w:t>项目总报价</w:t>
            </w:r>
          </w:p>
        </w:tc>
        <w:tc>
          <w:tcPr>
            <w:tcW w:w="1323" w:type="pct"/>
            <w:tcBorders>
              <w:tl2br w:val="nil"/>
              <w:tr2bl w:val="nil"/>
            </w:tcBorders>
            <w:vAlign w:val="center"/>
          </w:tcPr>
          <w:p w14:paraId="42BCC834">
            <w:pPr>
              <w:spacing w:line="280" w:lineRule="exact"/>
              <w:jc w:val="left"/>
              <w:rPr>
                <w:rFonts w:ascii="宋体" w:hAnsi="宋体" w:eastAsia="宋体" w:cs="Times New Roman"/>
                <w:bCs/>
                <w:sz w:val="21"/>
                <w:szCs w:val="21"/>
                <w:highlight w:val="none"/>
              </w:rPr>
            </w:pPr>
            <w:r>
              <w:rPr>
                <w:rFonts w:hint="eastAsia" w:ascii="宋体" w:hAnsi="宋体" w:eastAsia="宋体" w:cs="Times New Roman"/>
                <w:bCs/>
                <w:sz w:val="21"/>
                <w:szCs w:val="21"/>
                <w:highlight w:val="none"/>
              </w:rPr>
              <w:t>在商务技术满足基准要求的前提下，项目总报价最低的投标人得满分，第二名得分80分，第三名得分60分，以此类推。</w:t>
            </w:r>
          </w:p>
        </w:tc>
        <w:tc>
          <w:tcPr>
            <w:tcW w:w="472" w:type="pct"/>
            <w:tcBorders>
              <w:tl2br w:val="nil"/>
              <w:tr2bl w:val="nil"/>
            </w:tcBorders>
            <w:vAlign w:val="center"/>
          </w:tcPr>
          <w:p w14:paraId="1004F445">
            <w:pPr>
              <w:spacing w:line="280" w:lineRule="exact"/>
              <w:jc w:val="center"/>
              <w:rPr>
                <w:rFonts w:ascii="宋体" w:hAnsi="宋体" w:eastAsia="宋体" w:cs="Times New Roman"/>
                <w:bCs/>
                <w:sz w:val="21"/>
                <w:szCs w:val="21"/>
                <w:highlight w:val="none"/>
              </w:rPr>
            </w:pPr>
            <w:r>
              <w:rPr>
                <w:rFonts w:hint="eastAsia" w:ascii="宋体" w:hAnsi="宋体" w:eastAsia="宋体" w:cs="Times New Roman"/>
                <w:bCs/>
                <w:sz w:val="21"/>
                <w:szCs w:val="21"/>
                <w:highlight w:val="none"/>
              </w:rPr>
              <w:t>100分</w:t>
            </w:r>
          </w:p>
        </w:tc>
        <w:tc>
          <w:tcPr>
            <w:tcW w:w="1988" w:type="pct"/>
            <w:tcBorders>
              <w:tl2br w:val="nil"/>
              <w:tr2bl w:val="nil"/>
            </w:tcBorders>
            <w:vAlign w:val="center"/>
          </w:tcPr>
          <w:p w14:paraId="4EBA9204">
            <w:pPr>
              <w:spacing w:line="280" w:lineRule="exact"/>
              <w:jc w:val="center"/>
              <w:rPr>
                <w:rFonts w:ascii="宋体" w:hAnsi="宋体" w:eastAsia="宋体" w:cs="Times New Roman"/>
                <w:bCs/>
                <w:sz w:val="21"/>
                <w:szCs w:val="21"/>
                <w:highlight w:val="none"/>
              </w:rPr>
            </w:pPr>
          </w:p>
        </w:tc>
      </w:tr>
      <w:tr w14:paraId="269298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539" w:type="pct"/>
            <w:gridSpan w:val="3"/>
            <w:tcBorders>
              <w:tl2br w:val="nil"/>
              <w:tr2bl w:val="nil"/>
            </w:tcBorders>
            <w:vAlign w:val="center"/>
          </w:tcPr>
          <w:p w14:paraId="38F7B917">
            <w:pPr>
              <w:widowControl/>
              <w:spacing w:line="400" w:lineRule="exact"/>
              <w:jc w:val="center"/>
              <w:rPr>
                <w:rFonts w:ascii="宋体" w:hAnsi="宋体" w:eastAsia="宋体" w:cs="Arial"/>
                <w:b/>
                <w:kern w:val="0"/>
                <w:sz w:val="21"/>
                <w:szCs w:val="21"/>
                <w:highlight w:val="none"/>
              </w:rPr>
            </w:pPr>
            <w:r>
              <w:rPr>
                <w:rFonts w:hint="eastAsia" w:ascii="宋体" w:hAnsi="宋体" w:eastAsia="宋体" w:cs="Arial"/>
                <w:b/>
                <w:kern w:val="0"/>
                <w:sz w:val="21"/>
                <w:szCs w:val="21"/>
                <w:highlight w:val="none"/>
              </w:rPr>
              <w:t>合计</w:t>
            </w:r>
          </w:p>
        </w:tc>
        <w:tc>
          <w:tcPr>
            <w:tcW w:w="472" w:type="pct"/>
            <w:tcBorders>
              <w:tl2br w:val="nil"/>
              <w:tr2bl w:val="nil"/>
            </w:tcBorders>
            <w:vAlign w:val="center"/>
          </w:tcPr>
          <w:p w14:paraId="17755FD5">
            <w:pPr>
              <w:widowControl/>
              <w:spacing w:line="400" w:lineRule="exact"/>
              <w:jc w:val="center"/>
              <w:rPr>
                <w:rFonts w:ascii="宋体" w:hAnsi="宋体" w:eastAsia="宋体" w:cs="Arial"/>
                <w:b/>
                <w:kern w:val="0"/>
                <w:sz w:val="21"/>
                <w:szCs w:val="21"/>
                <w:highlight w:val="none"/>
              </w:rPr>
            </w:pPr>
            <w:r>
              <w:rPr>
                <w:rFonts w:hint="eastAsia" w:ascii="宋体" w:hAnsi="宋体" w:eastAsia="宋体" w:cs="Arial"/>
                <w:b/>
                <w:kern w:val="0"/>
                <w:sz w:val="21"/>
                <w:szCs w:val="21"/>
                <w:highlight w:val="none"/>
              </w:rPr>
              <w:t>100分</w:t>
            </w:r>
          </w:p>
        </w:tc>
        <w:tc>
          <w:tcPr>
            <w:tcW w:w="1988" w:type="pct"/>
            <w:tcBorders>
              <w:tl2br w:val="nil"/>
              <w:tr2bl w:val="nil"/>
            </w:tcBorders>
            <w:vAlign w:val="center"/>
          </w:tcPr>
          <w:p w14:paraId="4C813187">
            <w:pPr>
              <w:widowControl/>
              <w:spacing w:line="400" w:lineRule="exact"/>
              <w:jc w:val="center"/>
              <w:rPr>
                <w:rFonts w:ascii="宋体" w:hAnsi="宋体" w:eastAsia="宋体" w:cs="Arial"/>
                <w:b/>
                <w:kern w:val="0"/>
                <w:sz w:val="21"/>
                <w:szCs w:val="21"/>
                <w:highlight w:val="none"/>
              </w:rPr>
            </w:pPr>
          </w:p>
        </w:tc>
      </w:tr>
    </w:tbl>
    <w:p w14:paraId="13864F3B">
      <w:pPr>
        <w:keepNext w:val="0"/>
        <w:keepLines w:val="0"/>
        <w:pageBreakBefore w:val="0"/>
        <w:widowControl/>
        <w:kinsoku/>
        <w:wordWrap/>
        <w:overflowPunct/>
        <w:topLinePunct w:val="0"/>
        <w:autoSpaceDE/>
        <w:autoSpaceDN/>
        <w:bidi w:val="0"/>
        <w:adjustRightInd w:val="0"/>
        <w:snapToGrid w:val="0"/>
        <w:spacing w:line="280" w:lineRule="exact"/>
        <w:textAlignment w:val="auto"/>
        <w:rPr>
          <w:rFonts w:hint="eastAsia" w:ascii="仿宋" w:hAnsi="仿宋" w:eastAsia="仿宋" w:cs="仿宋"/>
          <w:b/>
          <w:bCs/>
          <w:szCs w:val="21"/>
          <w:highlight w:val="none"/>
        </w:rPr>
      </w:pPr>
    </w:p>
    <w:p w14:paraId="2FB19FF1">
      <w:pPr>
        <w:keepNext w:val="0"/>
        <w:keepLines w:val="0"/>
        <w:pageBreakBefore w:val="0"/>
        <w:widowControl/>
        <w:kinsoku/>
        <w:wordWrap/>
        <w:overflowPunct/>
        <w:topLinePunct w:val="0"/>
        <w:autoSpaceDE/>
        <w:autoSpaceDN/>
        <w:bidi w:val="0"/>
        <w:adjustRightInd w:val="0"/>
        <w:snapToGrid w:val="0"/>
        <w:spacing w:line="280" w:lineRule="exact"/>
        <w:ind w:firstLine="422" w:firstLineChars="200"/>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14:paraId="0902712C">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1.</w:t>
      </w:r>
      <w:r>
        <w:rPr>
          <w:rFonts w:hint="eastAsia" w:ascii="仿宋" w:hAnsi="仿宋" w:eastAsia="仿宋" w:cs="仿宋"/>
          <w:bCs/>
          <w:szCs w:val="21"/>
          <w:highlight w:val="none"/>
        </w:rPr>
        <w:t>评标价格的计算：</w:t>
      </w:r>
    </w:p>
    <w:p w14:paraId="2A295C6A">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lang w:val="en-US" w:eastAsia="zh-CN"/>
        </w:rPr>
        <w:t>2.</w:t>
      </w:r>
      <w:r>
        <w:rPr>
          <w:rFonts w:hint="eastAsia" w:ascii="仿宋" w:hAnsi="仿宋" w:eastAsia="仿宋" w:cs="仿宋"/>
          <w:bCs/>
          <w:szCs w:val="24"/>
          <w:highlight w:val="none"/>
        </w:rPr>
        <w:t>投标文件存在投标报价问题的，进行投标报价的算术修正，投标报价算术修正具体原则为：</w:t>
      </w:r>
    </w:p>
    <w:p w14:paraId="1AEAD922">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1）若投标报价一览表中投标价与投标文件中投标价格不一致，以投标报价一览表为准；</w:t>
      </w:r>
    </w:p>
    <w:p w14:paraId="44E7622B">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2）当小写金额与大写金额有差异时，以大写金额为准（有明显错误的除外）；</w:t>
      </w:r>
    </w:p>
    <w:p w14:paraId="2162CB0E">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4"/>
          <w:highlight w:val="none"/>
        </w:rPr>
      </w:pP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3）单价金额小数点有明显错位的，应以总价为准，并修改单价；</w:t>
      </w:r>
    </w:p>
    <w:p w14:paraId="11C7CFBF">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1"/>
          <w:highlight w:val="none"/>
        </w:rPr>
      </w:pP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4）投标报价为各分项报价金额之和，总价金额与依据单价计算出的结果不一致的，以单价</w:t>
      </w:r>
      <w:r>
        <w:rPr>
          <w:rFonts w:hint="eastAsia" w:ascii="仿宋" w:hAnsi="仿宋" w:eastAsia="仿宋" w:cs="仿宋"/>
          <w:bCs/>
          <w:szCs w:val="21"/>
          <w:highlight w:val="none"/>
        </w:rPr>
        <w:t>合同金额以经修正后的投标报价为准，缺漏项部分由投标人自行承担。</w:t>
      </w:r>
    </w:p>
    <w:p w14:paraId="006F74E3">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1"/>
          <w:highlight w:val="none"/>
        </w:rPr>
      </w:pPr>
      <w:r>
        <w:rPr>
          <w:rFonts w:hint="eastAsia" w:ascii="仿宋" w:hAnsi="仿宋" w:eastAsia="仿宋" w:cs="仿宋"/>
          <w:bCs/>
          <w:szCs w:val="21"/>
          <w:highlight w:val="none"/>
          <w:lang w:val="en-US" w:eastAsia="zh-CN"/>
        </w:rPr>
        <w:t>3.</w:t>
      </w:r>
      <w:r>
        <w:rPr>
          <w:rFonts w:hint="eastAsia" w:ascii="仿宋" w:hAnsi="仿宋" w:eastAsia="仿宋" w:cs="仿宋"/>
          <w:bCs/>
          <w:szCs w:val="21"/>
          <w:highlight w:val="none"/>
        </w:rPr>
        <w:t>价格标评分的计算：</w:t>
      </w:r>
    </w:p>
    <w:p w14:paraId="311E814C">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1"/>
          <w:highlight w:val="none"/>
        </w:rPr>
      </w:pPr>
      <w:r>
        <w:rPr>
          <w:rFonts w:hint="eastAsia" w:ascii="仿宋" w:hAnsi="仿宋" w:eastAsia="仿宋" w:cs="仿宋"/>
          <w:bCs/>
          <w:szCs w:val="21"/>
          <w:highlight w:val="none"/>
        </w:rPr>
        <w:t>评标专家组按附表2-1《价格标评分方法》进行评分。</w:t>
      </w:r>
    </w:p>
    <w:p w14:paraId="1DF90540">
      <w:pPr>
        <w:keepNext w:val="0"/>
        <w:keepLines w:val="0"/>
        <w:pageBreakBefore w:val="0"/>
        <w:widowControl/>
        <w:kinsoku/>
        <w:wordWrap/>
        <w:overflowPunct/>
        <w:topLinePunct w:val="0"/>
        <w:autoSpaceDE/>
        <w:autoSpaceDN/>
        <w:bidi w:val="0"/>
        <w:adjustRightInd w:val="0"/>
        <w:snapToGrid w:val="0"/>
        <w:spacing w:line="280" w:lineRule="exact"/>
        <w:ind w:firstLine="420" w:firstLineChars="200"/>
        <w:textAlignment w:val="auto"/>
        <w:rPr>
          <w:rFonts w:hint="eastAsia" w:ascii="仿宋" w:hAnsi="仿宋" w:eastAsia="仿宋" w:cs="仿宋"/>
          <w:bCs/>
          <w:szCs w:val="24"/>
          <w:highlight w:val="none"/>
          <w:shd w:val="clear" w:color="auto" w:fill="FFFF00"/>
        </w:rPr>
      </w:pPr>
      <w:r>
        <w:rPr>
          <w:rFonts w:hint="eastAsia" w:ascii="仿宋" w:hAnsi="仿宋" w:eastAsia="仿宋" w:cs="仿宋"/>
          <w:bCs/>
          <w:szCs w:val="24"/>
          <w:highlight w:val="none"/>
        </w:rPr>
        <w:t>经以上算法得出的数值即为投标人的价格得分（计算过程及计算结果四舍五入保留小数点后两位）。价格得分为负数时，计为0分。</w:t>
      </w:r>
    </w:p>
    <w:p w14:paraId="7DD9D8C5">
      <w:pPr>
        <w:widowControl/>
        <w:adjustRightInd w:val="0"/>
        <w:snapToGrid w:val="0"/>
        <w:spacing w:line="360" w:lineRule="auto"/>
        <w:rPr>
          <w:rFonts w:ascii="Times New Roman" w:hAnsi="Times New Roman" w:eastAsia="宋体" w:cs="Times New Roman"/>
          <w:b/>
          <w:color w:val="FF0000"/>
          <w:szCs w:val="24"/>
          <w:highlight w:val="none"/>
        </w:rPr>
      </w:pPr>
    </w:p>
    <w:p w14:paraId="0F2B5FCC">
      <w:pPr>
        <w:widowControl/>
        <w:adjustRightInd w:val="0"/>
        <w:snapToGrid w:val="0"/>
        <w:spacing w:line="360" w:lineRule="auto"/>
        <w:rPr>
          <w:rFonts w:ascii="Times New Roman" w:hAnsi="Times New Roman" w:eastAsia="宋体" w:cs="Times New Roman"/>
          <w:b/>
          <w:szCs w:val="24"/>
          <w:highlight w:val="none"/>
        </w:rPr>
      </w:pPr>
    </w:p>
    <w:p w14:paraId="6978E629">
      <w:pPr>
        <w:widowControl/>
        <w:adjustRightInd w:val="0"/>
        <w:snapToGrid w:val="0"/>
        <w:spacing w:line="360" w:lineRule="auto"/>
        <w:rPr>
          <w:rFonts w:ascii="Times New Roman" w:hAnsi="Times New Roman" w:eastAsia="宋体" w:cs="Times New Roman"/>
          <w:b/>
          <w:szCs w:val="24"/>
          <w:highlight w:val="none"/>
        </w:rPr>
      </w:pPr>
    </w:p>
    <w:p w14:paraId="46494B66">
      <w:pPr>
        <w:widowControl/>
        <w:adjustRightInd w:val="0"/>
        <w:snapToGrid w:val="0"/>
        <w:spacing w:line="360" w:lineRule="auto"/>
        <w:rPr>
          <w:rFonts w:ascii="Times New Roman" w:hAnsi="Times New Roman" w:eastAsia="宋体" w:cs="Times New Roman"/>
          <w:b/>
          <w:szCs w:val="24"/>
          <w:highlight w:val="none"/>
        </w:rPr>
      </w:pPr>
    </w:p>
    <w:p w14:paraId="5858793A">
      <w:pPr>
        <w:widowControl/>
        <w:adjustRightInd w:val="0"/>
        <w:snapToGrid w:val="0"/>
        <w:spacing w:line="360" w:lineRule="auto"/>
        <w:rPr>
          <w:rFonts w:ascii="Times New Roman" w:hAnsi="Times New Roman" w:eastAsia="宋体" w:cs="Times New Roman"/>
          <w:b/>
          <w:szCs w:val="24"/>
          <w:highlight w:val="none"/>
        </w:rPr>
      </w:pPr>
    </w:p>
    <w:p w14:paraId="42E9C856">
      <w:pPr>
        <w:widowControl/>
        <w:adjustRightInd w:val="0"/>
        <w:snapToGrid w:val="0"/>
        <w:spacing w:line="360" w:lineRule="auto"/>
        <w:rPr>
          <w:rFonts w:ascii="Times New Roman" w:hAnsi="Times New Roman" w:eastAsia="宋体" w:cs="Times New Roman"/>
          <w:b/>
          <w:szCs w:val="24"/>
          <w:highlight w:val="none"/>
        </w:rPr>
      </w:pPr>
      <w:r>
        <w:rPr>
          <w:rFonts w:ascii="Times New Roman" w:hAnsi="Times New Roman" w:eastAsia="宋体" w:cs="Times New Roman"/>
          <w:b/>
          <w:szCs w:val="24"/>
          <w:highlight w:val="none"/>
        </w:rPr>
        <w:br w:type="page"/>
      </w:r>
    </w:p>
    <w:p w14:paraId="35A8BD1C">
      <w:pPr>
        <w:keepNext/>
        <w:keepLines/>
        <w:widowControl/>
        <w:numPr>
          <w:ilvl w:val="3"/>
          <w:numId w:val="0"/>
        </w:numPr>
        <w:adjustRightInd w:val="0"/>
        <w:snapToGrid w:val="0"/>
        <w:spacing w:line="360" w:lineRule="auto"/>
        <w:ind w:firstLine="420" w:firstLineChars="200"/>
        <w:outlineLvl w:val="3"/>
        <w:rPr>
          <w:rFonts w:hint="eastAsia" w:ascii="仿宋" w:hAnsi="仿宋" w:eastAsia="仿宋" w:cs="仿宋"/>
          <w:b w:val="0"/>
          <w:bCs/>
          <w:sz w:val="21"/>
          <w:szCs w:val="21"/>
          <w:highlight w:val="none"/>
        </w:rPr>
      </w:pPr>
      <w:r>
        <w:rPr>
          <w:rFonts w:hint="eastAsia" w:ascii="仿宋" w:hAnsi="仿宋" w:eastAsia="仿宋" w:cs="仿宋"/>
          <w:b w:val="0"/>
          <w:bCs/>
          <w:sz w:val="21"/>
          <w:szCs w:val="21"/>
          <w:highlight w:val="none"/>
        </w:rPr>
        <w:t>附表3-1 《商务技术标、价格标权重表》</w:t>
      </w:r>
    </w:p>
    <w:p w14:paraId="781DA81C">
      <w:pPr>
        <w:keepNext/>
        <w:keepLines/>
        <w:widowControl/>
        <w:numPr>
          <w:ilvl w:val="3"/>
          <w:numId w:val="0"/>
        </w:numPr>
        <w:adjustRightInd w:val="0"/>
        <w:snapToGrid w:val="0"/>
        <w:spacing w:line="360" w:lineRule="auto"/>
        <w:ind w:firstLine="440" w:firstLineChars="200"/>
        <w:outlineLvl w:val="3"/>
        <w:rPr>
          <w:rFonts w:ascii="Times New Roman" w:hAnsi="Times New Roman" w:eastAsia="宋体" w:cs="Times New Roman"/>
          <w:b w:val="0"/>
          <w:bCs/>
          <w:sz w:val="22"/>
          <w:szCs w:val="24"/>
          <w:highlight w:val="none"/>
        </w:rPr>
      </w:pPr>
    </w:p>
    <w:p w14:paraId="30048020">
      <w:pPr>
        <w:widowControl/>
        <w:adjustRightInd w:val="0"/>
        <w:snapToGrid w:val="0"/>
        <w:spacing w:line="360" w:lineRule="auto"/>
        <w:jc w:val="center"/>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商务技术标、价格标权重表</w:t>
      </w:r>
    </w:p>
    <w:tbl>
      <w:tblPr>
        <w:tblStyle w:val="15"/>
        <w:tblW w:w="900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2643"/>
        <w:gridCol w:w="3240"/>
        <w:gridCol w:w="3126"/>
      </w:tblGrid>
      <w:tr w14:paraId="0210AA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782" w:hRule="atLeast"/>
          <w:jc w:val="center"/>
        </w:trPr>
        <w:tc>
          <w:tcPr>
            <w:tcW w:w="2643" w:type="dxa"/>
            <w:tcBorders>
              <w:tl2br w:val="nil"/>
              <w:tr2bl w:val="nil"/>
            </w:tcBorders>
            <w:shd w:val="clear" w:color="auto" w:fill="FFFFFF" w:themeFill="background1"/>
            <w:vAlign w:val="center"/>
          </w:tcPr>
          <w:p w14:paraId="385C706E">
            <w:pPr>
              <w:widowControl/>
              <w:adjustRightInd w:val="0"/>
              <w:snapToGrid w:val="0"/>
              <w:spacing w:line="360" w:lineRule="auto"/>
              <w:jc w:val="center"/>
              <w:rPr>
                <w:rFonts w:ascii="宋体" w:hAnsi="宋体" w:eastAsia="宋体" w:cs="宋体"/>
                <w:b/>
                <w:sz w:val="24"/>
                <w:szCs w:val="32"/>
                <w:highlight w:val="none"/>
              </w:rPr>
            </w:pPr>
            <w:r>
              <w:rPr>
                <w:rFonts w:hint="eastAsia" w:ascii="宋体" w:hAnsi="宋体" w:eastAsia="宋体" w:cs="宋体"/>
                <w:b/>
                <w:sz w:val="24"/>
                <w:szCs w:val="32"/>
                <w:highlight w:val="none"/>
              </w:rPr>
              <w:t>权重名称</w:t>
            </w:r>
          </w:p>
        </w:tc>
        <w:tc>
          <w:tcPr>
            <w:tcW w:w="3240" w:type="dxa"/>
            <w:tcBorders>
              <w:tl2br w:val="nil"/>
              <w:tr2bl w:val="nil"/>
            </w:tcBorders>
            <w:shd w:val="clear" w:color="auto" w:fill="FFFFFF" w:themeFill="background1"/>
            <w:vAlign w:val="center"/>
          </w:tcPr>
          <w:p w14:paraId="7EE47E96">
            <w:pPr>
              <w:widowControl/>
              <w:adjustRightInd w:val="0"/>
              <w:snapToGrid w:val="0"/>
              <w:spacing w:line="360" w:lineRule="auto"/>
              <w:jc w:val="center"/>
              <w:rPr>
                <w:rFonts w:ascii="宋体" w:hAnsi="宋体" w:eastAsia="宋体" w:cs="宋体"/>
                <w:b/>
                <w:sz w:val="24"/>
                <w:szCs w:val="32"/>
                <w:highlight w:val="none"/>
              </w:rPr>
            </w:pPr>
            <w:r>
              <w:rPr>
                <w:rFonts w:hint="eastAsia" w:ascii="宋体" w:hAnsi="宋体" w:eastAsia="宋体" w:cs="宋体"/>
                <w:b/>
                <w:sz w:val="24"/>
                <w:szCs w:val="32"/>
                <w:highlight w:val="none"/>
              </w:rPr>
              <w:t>商务技术权重</w:t>
            </w:r>
          </w:p>
        </w:tc>
        <w:tc>
          <w:tcPr>
            <w:tcW w:w="3126" w:type="dxa"/>
            <w:tcBorders>
              <w:tl2br w:val="nil"/>
              <w:tr2bl w:val="nil"/>
            </w:tcBorders>
            <w:shd w:val="clear" w:color="auto" w:fill="FFFFFF" w:themeFill="background1"/>
            <w:vAlign w:val="center"/>
          </w:tcPr>
          <w:p w14:paraId="645AC3E7">
            <w:pPr>
              <w:widowControl/>
              <w:adjustRightInd w:val="0"/>
              <w:snapToGrid w:val="0"/>
              <w:spacing w:line="360" w:lineRule="auto"/>
              <w:jc w:val="center"/>
              <w:rPr>
                <w:rFonts w:ascii="宋体" w:hAnsi="宋体" w:eastAsia="宋体" w:cs="宋体"/>
                <w:b/>
                <w:sz w:val="24"/>
                <w:szCs w:val="32"/>
                <w:highlight w:val="none"/>
              </w:rPr>
            </w:pPr>
            <w:r>
              <w:rPr>
                <w:rFonts w:hint="eastAsia" w:ascii="宋体" w:hAnsi="宋体" w:eastAsia="宋体" w:cs="宋体"/>
                <w:b/>
                <w:sz w:val="24"/>
                <w:szCs w:val="32"/>
                <w:highlight w:val="none"/>
              </w:rPr>
              <w:t>价格权重</w:t>
            </w:r>
          </w:p>
        </w:tc>
      </w:tr>
      <w:tr w14:paraId="11803C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812" w:hRule="atLeast"/>
          <w:jc w:val="center"/>
        </w:trPr>
        <w:tc>
          <w:tcPr>
            <w:tcW w:w="2643" w:type="dxa"/>
            <w:tcBorders>
              <w:tl2br w:val="nil"/>
              <w:tr2bl w:val="nil"/>
            </w:tcBorders>
            <w:shd w:val="clear" w:color="auto" w:fill="FFFFFF" w:themeFill="background1"/>
            <w:vAlign w:val="center"/>
          </w:tcPr>
          <w:p w14:paraId="67DA09CD">
            <w:pPr>
              <w:widowControl/>
              <w:adjustRightInd w:val="0"/>
              <w:snapToGrid w:val="0"/>
              <w:spacing w:line="360" w:lineRule="auto"/>
              <w:jc w:val="center"/>
              <w:rPr>
                <w:rFonts w:ascii="宋体" w:hAnsi="宋体" w:eastAsia="宋体" w:cs="宋体"/>
                <w:bCs/>
                <w:sz w:val="28"/>
                <w:szCs w:val="36"/>
                <w:highlight w:val="none"/>
              </w:rPr>
            </w:pPr>
            <w:r>
              <w:rPr>
                <w:rFonts w:hint="eastAsia" w:ascii="宋体" w:hAnsi="宋体" w:eastAsia="宋体" w:cs="宋体"/>
                <w:bCs/>
                <w:sz w:val="28"/>
                <w:szCs w:val="36"/>
                <w:highlight w:val="none"/>
              </w:rPr>
              <w:t>权重</w:t>
            </w:r>
          </w:p>
        </w:tc>
        <w:tc>
          <w:tcPr>
            <w:tcW w:w="3240" w:type="dxa"/>
            <w:tcBorders>
              <w:tl2br w:val="nil"/>
              <w:tr2bl w:val="nil"/>
            </w:tcBorders>
            <w:shd w:val="clear" w:color="auto" w:fill="FFFFFF" w:themeFill="background1"/>
            <w:vAlign w:val="center"/>
          </w:tcPr>
          <w:p w14:paraId="24B88427">
            <w:pPr>
              <w:widowControl/>
              <w:adjustRightInd w:val="0"/>
              <w:snapToGrid w:val="0"/>
              <w:spacing w:line="360" w:lineRule="auto"/>
              <w:jc w:val="center"/>
              <w:rPr>
                <w:rFonts w:ascii="宋体" w:hAnsi="宋体" w:eastAsia="宋体" w:cs="宋体"/>
                <w:bCs/>
                <w:sz w:val="28"/>
                <w:szCs w:val="36"/>
                <w:highlight w:val="none"/>
              </w:rPr>
            </w:pPr>
            <w:r>
              <w:rPr>
                <w:rFonts w:hint="eastAsia" w:ascii="宋体" w:hAnsi="宋体" w:eastAsia="宋体" w:cs="宋体"/>
                <w:bCs/>
                <w:sz w:val="28"/>
                <w:szCs w:val="36"/>
                <w:highlight w:val="none"/>
              </w:rPr>
              <w:t>50%</w:t>
            </w:r>
          </w:p>
        </w:tc>
        <w:tc>
          <w:tcPr>
            <w:tcW w:w="3126" w:type="dxa"/>
            <w:tcBorders>
              <w:tl2br w:val="nil"/>
              <w:tr2bl w:val="nil"/>
            </w:tcBorders>
            <w:shd w:val="clear" w:color="auto" w:fill="FFFFFF" w:themeFill="background1"/>
            <w:vAlign w:val="center"/>
          </w:tcPr>
          <w:p w14:paraId="2EF89E4B">
            <w:pPr>
              <w:widowControl/>
              <w:adjustRightInd w:val="0"/>
              <w:snapToGrid w:val="0"/>
              <w:spacing w:line="360" w:lineRule="auto"/>
              <w:jc w:val="center"/>
              <w:rPr>
                <w:rFonts w:ascii="宋体" w:hAnsi="宋体" w:eastAsia="宋体" w:cs="宋体"/>
                <w:bCs/>
                <w:sz w:val="28"/>
                <w:szCs w:val="36"/>
                <w:highlight w:val="none"/>
              </w:rPr>
            </w:pPr>
            <w:r>
              <w:rPr>
                <w:rFonts w:hint="eastAsia" w:ascii="宋体" w:hAnsi="宋体" w:eastAsia="宋体" w:cs="宋体"/>
                <w:bCs/>
                <w:sz w:val="28"/>
                <w:szCs w:val="36"/>
                <w:highlight w:val="none"/>
              </w:rPr>
              <w:t>50%</w:t>
            </w:r>
          </w:p>
        </w:tc>
      </w:tr>
    </w:tbl>
    <w:p w14:paraId="53CBF8CA">
      <w:pPr>
        <w:widowControl/>
        <w:adjustRightInd w:val="0"/>
        <w:snapToGrid w:val="0"/>
        <w:spacing w:line="360" w:lineRule="auto"/>
        <w:rPr>
          <w:rFonts w:ascii="Times New Roman" w:hAnsi="Times New Roman" w:eastAsia="宋体" w:cs="Times New Roman"/>
          <w:b/>
          <w:szCs w:val="24"/>
          <w:highlight w:val="none"/>
        </w:rPr>
      </w:pPr>
    </w:p>
    <w:p w14:paraId="55803B2C">
      <w:pPr>
        <w:widowControl/>
        <w:jc w:val="left"/>
        <w:rPr>
          <w:rFonts w:ascii="宋体" w:hAnsi="宋体" w:cs="宋体"/>
          <w:b/>
          <w:highlight w:val="none"/>
        </w:rPr>
      </w:pPr>
    </w:p>
    <w:p w14:paraId="630172EE">
      <w:pPr>
        <w:widowControl/>
        <w:jc w:val="left"/>
        <w:rPr>
          <w:rFonts w:ascii="宋体" w:hAnsi="宋体" w:cs="宋体"/>
          <w:b/>
          <w:highlight w:val="none"/>
        </w:rPr>
      </w:pPr>
    </w:p>
    <w:p w14:paraId="667C0B2C">
      <w:pPr>
        <w:widowControl/>
        <w:jc w:val="left"/>
        <w:rPr>
          <w:rFonts w:ascii="宋体" w:hAnsi="宋体" w:cs="宋体"/>
          <w:b/>
          <w:highlight w:val="none"/>
        </w:rPr>
      </w:pPr>
    </w:p>
    <w:p w14:paraId="714F82FC">
      <w:pPr>
        <w:widowControl/>
        <w:jc w:val="left"/>
        <w:rPr>
          <w:rFonts w:ascii="宋体" w:hAnsi="宋体" w:cs="宋体"/>
          <w:b/>
          <w:highlight w:val="none"/>
        </w:rPr>
      </w:pPr>
    </w:p>
    <w:p w14:paraId="5495B063">
      <w:pPr>
        <w:widowControl/>
        <w:jc w:val="left"/>
        <w:rPr>
          <w:rFonts w:ascii="宋体" w:hAnsi="宋体" w:cs="宋体"/>
          <w:b/>
          <w:highlight w:val="none"/>
        </w:rPr>
      </w:pPr>
    </w:p>
    <w:p w14:paraId="3F0F28F0">
      <w:pPr>
        <w:widowControl/>
        <w:jc w:val="left"/>
        <w:rPr>
          <w:rFonts w:ascii="宋体" w:hAnsi="宋体" w:cs="宋体"/>
          <w:b/>
          <w:highlight w:val="none"/>
        </w:rPr>
      </w:pPr>
    </w:p>
    <w:p w14:paraId="25EF5F3D">
      <w:pPr>
        <w:widowControl/>
        <w:jc w:val="left"/>
        <w:rPr>
          <w:rFonts w:ascii="宋体" w:hAnsi="宋体" w:cs="宋体"/>
          <w:b/>
          <w:highlight w:val="none"/>
        </w:rPr>
      </w:pPr>
    </w:p>
    <w:p w14:paraId="7B078156">
      <w:pPr>
        <w:widowControl/>
        <w:jc w:val="left"/>
        <w:rPr>
          <w:rFonts w:ascii="宋体" w:hAnsi="宋体" w:cs="宋体"/>
          <w:b/>
          <w:highlight w:val="none"/>
        </w:rPr>
      </w:pPr>
    </w:p>
    <w:p w14:paraId="5C4D431B">
      <w:pPr>
        <w:widowControl/>
        <w:jc w:val="left"/>
        <w:rPr>
          <w:rFonts w:ascii="宋体" w:hAnsi="宋体" w:cs="宋体"/>
          <w:b/>
          <w:highlight w:val="none"/>
        </w:rPr>
      </w:pPr>
    </w:p>
    <w:p w14:paraId="5D64733A">
      <w:pPr>
        <w:widowControl/>
        <w:jc w:val="left"/>
        <w:rPr>
          <w:rFonts w:ascii="宋体" w:hAnsi="宋体" w:cs="宋体"/>
          <w:b/>
          <w:highlight w:val="none"/>
        </w:rPr>
      </w:pPr>
    </w:p>
    <w:p w14:paraId="0885FF34">
      <w:pPr>
        <w:widowControl/>
        <w:jc w:val="left"/>
        <w:rPr>
          <w:rFonts w:ascii="宋体" w:hAnsi="宋体" w:cs="宋体"/>
          <w:b/>
          <w:highlight w:val="none"/>
        </w:rPr>
      </w:pPr>
    </w:p>
    <w:p w14:paraId="2323B37F">
      <w:pPr>
        <w:widowControl/>
        <w:jc w:val="left"/>
        <w:rPr>
          <w:rFonts w:ascii="宋体" w:hAnsi="宋体" w:cs="宋体"/>
          <w:b/>
          <w:highlight w:val="none"/>
        </w:rPr>
      </w:pPr>
    </w:p>
    <w:p w14:paraId="6FF9E86E">
      <w:pPr>
        <w:widowControl/>
        <w:jc w:val="left"/>
        <w:rPr>
          <w:rFonts w:ascii="宋体" w:hAnsi="宋体" w:cs="宋体"/>
          <w:b/>
          <w:highlight w:val="none"/>
        </w:rPr>
      </w:pPr>
    </w:p>
    <w:p w14:paraId="7C335989">
      <w:pPr>
        <w:widowControl/>
        <w:jc w:val="left"/>
        <w:rPr>
          <w:rFonts w:ascii="宋体" w:hAnsi="宋体" w:cs="宋体"/>
          <w:b/>
          <w:highlight w:val="none"/>
        </w:rPr>
      </w:pPr>
    </w:p>
    <w:p w14:paraId="02C778FB">
      <w:pPr>
        <w:widowControl/>
        <w:jc w:val="left"/>
        <w:rPr>
          <w:rFonts w:ascii="宋体" w:hAnsi="宋体" w:cs="宋体"/>
          <w:b/>
          <w:highlight w:val="none"/>
        </w:rPr>
      </w:pPr>
    </w:p>
    <w:p w14:paraId="106AC35D">
      <w:pPr>
        <w:widowControl/>
        <w:jc w:val="left"/>
        <w:rPr>
          <w:rFonts w:ascii="宋体" w:hAnsi="宋体" w:cs="宋体"/>
          <w:b/>
          <w:highlight w:val="none"/>
        </w:rPr>
      </w:pPr>
    </w:p>
    <w:p w14:paraId="65CA0B57">
      <w:pPr>
        <w:widowControl/>
        <w:jc w:val="left"/>
        <w:rPr>
          <w:rFonts w:ascii="宋体" w:hAnsi="宋体" w:cs="宋体"/>
          <w:b/>
          <w:highlight w:val="none"/>
        </w:rPr>
      </w:pPr>
    </w:p>
    <w:p w14:paraId="54DEEAB2">
      <w:pPr>
        <w:widowControl/>
        <w:jc w:val="left"/>
        <w:rPr>
          <w:rFonts w:ascii="宋体" w:hAnsi="宋体" w:cs="宋体"/>
          <w:b/>
          <w:highlight w:val="none"/>
        </w:rPr>
      </w:pPr>
    </w:p>
    <w:p w14:paraId="712EA8BF">
      <w:pPr>
        <w:widowControl/>
        <w:jc w:val="left"/>
        <w:rPr>
          <w:rFonts w:ascii="宋体" w:hAnsi="宋体" w:cs="宋体"/>
          <w:b/>
          <w:highlight w:val="none"/>
        </w:rPr>
      </w:pPr>
    </w:p>
    <w:p w14:paraId="26C67C09">
      <w:pPr>
        <w:widowControl/>
        <w:jc w:val="left"/>
        <w:rPr>
          <w:rFonts w:ascii="宋体" w:hAnsi="宋体" w:cs="宋体"/>
          <w:b/>
          <w:highlight w:val="none"/>
        </w:rPr>
      </w:pPr>
    </w:p>
    <w:p w14:paraId="367FB217">
      <w:pPr>
        <w:widowControl/>
        <w:jc w:val="left"/>
        <w:rPr>
          <w:rFonts w:ascii="宋体" w:hAnsi="宋体" w:cs="宋体"/>
          <w:b/>
          <w:highlight w:val="none"/>
        </w:rPr>
      </w:pPr>
    </w:p>
    <w:p w14:paraId="352AB976">
      <w:pPr>
        <w:widowControl/>
        <w:jc w:val="left"/>
        <w:rPr>
          <w:rFonts w:ascii="宋体" w:hAnsi="宋体" w:cs="宋体"/>
          <w:b/>
          <w:highlight w:val="none"/>
        </w:rPr>
      </w:pPr>
    </w:p>
    <w:p w14:paraId="7E1C8CCA">
      <w:pPr>
        <w:widowControl/>
        <w:jc w:val="left"/>
        <w:rPr>
          <w:rFonts w:ascii="宋体" w:hAnsi="宋体" w:cs="宋体"/>
          <w:b/>
          <w:highlight w:val="none"/>
        </w:rPr>
      </w:pPr>
    </w:p>
    <w:p w14:paraId="6EFD7337">
      <w:pPr>
        <w:widowControl/>
        <w:jc w:val="left"/>
        <w:rPr>
          <w:rFonts w:ascii="宋体" w:hAnsi="宋体" w:cs="宋体"/>
          <w:b/>
          <w:highlight w:val="none"/>
        </w:rPr>
      </w:pPr>
    </w:p>
    <w:p w14:paraId="21759054">
      <w:pPr>
        <w:widowControl/>
        <w:jc w:val="left"/>
        <w:rPr>
          <w:rFonts w:ascii="宋体" w:hAnsi="宋体" w:cs="宋体"/>
          <w:b/>
          <w:highlight w:val="none"/>
        </w:rPr>
      </w:pPr>
    </w:p>
    <w:p w14:paraId="6286DC3F">
      <w:pPr>
        <w:widowControl/>
        <w:jc w:val="left"/>
        <w:rPr>
          <w:rFonts w:ascii="宋体" w:hAnsi="宋体" w:cs="宋体"/>
          <w:b/>
          <w:highlight w:val="none"/>
        </w:rPr>
      </w:pPr>
    </w:p>
    <w:p w14:paraId="522EBC40">
      <w:pPr>
        <w:widowControl/>
        <w:jc w:val="left"/>
        <w:rPr>
          <w:rFonts w:ascii="宋体" w:hAnsi="宋体" w:cs="宋体"/>
          <w:b/>
          <w:highlight w:val="none"/>
        </w:rPr>
      </w:pPr>
    </w:p>
    <w:p w14:paraId="4A7B26F6">
      <w:pPr>
        <w:widowControl/>
        <w:jc w:val="left"/>
        <w:rPr>
          <w:rFonts w:ascii="宋体" w:hAnsi="宋体" w:cs="宋体"/>
          <w:b/>
          <w:highlight w:val="none"/>
        </w:rPr>
      </w:pPr>
    </w:p>
    <w:p w14:paraId="219D17B2">
      <w:pPr>
        <w:widowControl/>
        <w:jc w:val="left"/>
        <w:rPr>
          <w:rFonts w:ascii="宋体" w:hAnsi="宋体" w:cs="宋体"/>
          <w:b/>
          <w:highlight w:val="none"/>
        </w:rPr>
      </w:pPr>
    </w:p>
    <w:p w14:paraId="31EF3D78">
      <w:pPr>
        <w:widowControl/>
        <w:jc w:val="left"/>
        <w:rPr>
          <w:rFonts w:ascii="宋体" w:hAnsi="宋体" w:cs="宋体"/>
          <w:b/>
          <w:highlight w:val="none"/>
        </w:rPr>
      </w:pPr>
    </w:p>
    <w:p w14:paraId="183A748F">
      <w:pPr>
        <w:widowControl/>
        <w:jc w:val="left"/>
        <w:rPr>
          <w:rFonts w:ascii="宋体" w:hAnsi="宋体" w:cs="宋体"/>
          <w:b/>
          <w:highlight w:val="none"/>
        </w:rPr>
      </w:pPr>
    </w:p>
    <w:p w14:paraId="4050F655">
      <w:pPr>
        <w:widowControl/>
        <w:jc w:val="left"/>
        <w:rPr>
          <w:rFonts w:ascii="宋体" w:hAnsi="宋体" w:cs="宋体"/>
          <w:b/>
          <w:highlight w:val="none"/>
        </w:rPr>
      </w:pPr>
    </w:p>
    <w:p w14:paraId="7A812DF5">
      <w:pPr>
        <w:widowControl/>
        <w:jc w:val="left"/>
        <w:rPr>
          <w:rFonts w:ascii="宋体" w:hAnsi="宋体" w:cs="宋体"/>
          <w:b/>
          <w:highlight w:val="none"/>
        </w:rPr>
      </w:pPr>
    </w:p>
    <w:p w14:paraId="3A948016">
      <w:pPr>
        <w:pStyle w:val="3"/>
        <w:spacing w:line="480" w:lineRule="exact"/>
        <w:jc w:val="center"/>
        <w:rPr>
          <w:rFonts w:hint="eastAsia" w:ascii="黑体" w:hAnsi="黑体" w:eastAsia="黑体" w:cs="黑体"/>
          <w:b w:val="0"/>
          <w:bCs/>
          <w:sz w:val="32"/>
          <w:szCs w:val="32"/>
          <w:highlight w:val="none"/>
        </w:rPr>
      </w:pPr>
      <w:bookmarkStart w:id="58" w:name="_Toc22811"/>
      <w:bookmarkStart w:id="59" w:name="_Toc6311"/>
      <w:r>
        <w:rPr>
          <w:rFonts w:hint="eastAsia" w:ascii="黑体" w:hAnsi="黑体" w:eastAsia="黑体" w:cs="黑体"/>
          <w:b w:val="0"/>
          <w:bCs/>
          <w:sz w:val="32"/>
          <w:szCs w:val="32"/>
          <w:highlight w:val="none"/>
        </w:rPr>
        <w:t>第三章 合同条款</w:t>
      </w:r>
      <w:bookmarkEnd w:id="58"/>
      <w:bookmarkEnd w:id="59"/>
    </w:p>
    <w:p w14:paraId="365358C0">
      <w:pPr>
        <w:spacing w:line="380" w:lineRule="exact"/>
        <w:rPr>
          <w:rFonts w:ascii="黑体" w:hAnsi="宋体" w:eastAsia="黑体"/>
          <w:b/>
          <w:sz w:val="52"/>
          <w:szCs w:val="52"/>
          <w:highlight w:val="none"/>
        </w:rPr>
      </w:pPr>
    </w:p>
    <w:p w14:paraId="2851E5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深圳市鹏劳人力资源管理有限公司</w:t>
      </w:r>
    </w:p>
    <w:p w14:paraId="30905D8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2024年</w:t>
      </w:r>
      <w:r>
        <w:rPr>
          <w:rFonts w:hint="eastAsia" w:ascii="方正小标宋简体" w:hAnsi="方正小标宋简体" w:eastAsia="方正小标宋简体" w:cs="方正小标宋简体"/>
          <w:b w:val="0"/>
          <w:bCs/>
          <w:sz w:val="44"/>
          <w:szCs w:val="44"/>
          <w:highlight w:val="none"/>
        </w:rPr>
        <w:t>外派员工</w:t>
      </w:r>
      <w:r>
        <w:rPr>
          <w:rFonts w:hint="eastAsia" w:ascii="方正小标宋简体" w:hAnsi="方正小标宋简体" w:eastAsia="方正小标宋简体" w:cs="方正小标宋简体"/>
          <w:b w:val="0"/>
          <w:bCs/>
          <w:sz w:val="44"/>
          <w:szCs w:val="44"/>
          <w:highlight w:val="none"/>
          <w:lang w:val="en-US" w:eastAsia="zh-CN"/>
        </w:rPr>
        <w:t>健康</w:t>
      </w:r>
      <w:r>
        <w:rPr>
          <w:rFonts w:hint="eastAsia" w:ascii="方正小标宋简体" w:hAnsi="方正小标宋简体" w:eastAsia="方正小标宋简体" w:cs="方正小标宋简体"/>
          <w:b w:val="0"/>
          <w:bCs/>
          <w:sz w:val="44"/>
          <w:szCs w:val="44"/>
          <w:highlight w:val="none"/>
        </w:rPr>
        <w:t>体检服务合同</w:t>
      </w:r>
    </w:p>
    <w:p w14:paraId="2C8A0C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sz w:val="32"/>
          <w:szCs w:val="32"/>
          <w:highlight w:val="none"/>
        </w:rPr>
      </w:pPr>
    </w:p>
    <w:p w14:paraId="371585E9">
      <w:pPr>
        <w:pageBreakBefore w:val="0"/>
        <w:kinsoku/>
        <w:overflowPunct/>
        <w:topLinePunct w:val="0"/>
        <w:autoSpaceDE/>
        <w:autoSpaceDN/>
        <w:bidi w:val="0"/>
        <w:spacing w:line="560" w:lineRule="exact"/>
        <w:rPr>
          <w:rFonts w:hint="eastAsia" w:ascii="仿宋_GB2312" w:hAnsi="仿宋_GB2312" w:eastAsia="仿宋_GB2312" w:cs="仿宋_GB2312"/>
          <w:b w:val="0"/>
          <w:bCs/>
          <w:sz w:val="32"/>
          <w:szCs w:val="32"/>
          <w:highlight w:val="none"/>
        </w:rPr>
      </w:pPr>
      <w:bookmarkStart w:id="60" w:name="_Toc27794"/>
      <w:r>
        <w:rPr>
          <w:rFonts w:hint="eastAsia" w:ascii="仿宋_GB2312" w:hAnsi="仿宋_GB2312" w:eastAsia="仿宋_GB2312" w:cs="仿宋_GB2312"/>
          <w:b w:val="0"/>
          <w:bCs/>
          <w:sz w:val="32"/>
          <w:szCs w:val="32"/>
          <w:highlight w:val="none"/>
        </w:rPr>
        <w:t xml:space="preserve">甲方：深圳市鹏劳人力资源管理有限公司 </w:t>
      </w:r>
    </w:p>
    <w:p w14:paraId="7D729A40">
      <w:pPr>
        <w:pageBreakBefore w:val="0"/>
        <w:kinsoku/>
        <w:overflowPunct/>
        <w:topLinePunct w:val="0"/>
        <w:autoSpaceDE/>
        <w:autoSpaceDN/>
        <w:bidi w:val="0"/>
        <w:spacing w:line="560" w:lineRule="exac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地址：</w:t>
      </w:r>
      <w:r>
        <w:rPr>
          <w:rFonts w:hint="eastAsia" w:ascii="仿宋_GB2312" w:hAnsi="仿宋_GB2312" w:eastAsia="仿宋_GB2312" w:cs="仿宋_GB2312"/>
          <w:bCs/>
          <w:sz w:val="32"/>
          <w:szCs w:val="32"/>
          <w:highlight w:val="none"/>
        </w:rPr>
        <w:t>深圳市罗湖区笋岗街道田心社区红岭北路2088号招商开元中心A座13层</w:t>
      </w:r>
    </w:p>
    <w:p w14:paraId="3E10FAAF">
      <w:pPr>
        <w:pageBreakBefore w:val="0"/>
        <w:kinsoku/>
        <w:overflowPunct/>
        <w:topLinePunct w:val="0"/>
        <w:autoSpaceDE/>
        <w:autoSpaceDN/>
        <w:bidi w:val="0"/>
        <w:spacing w:line="560" w:lineRule="exact"/>
        <w:rPr>
          <w:rFonts w:hint="eastAsia" w:ascii="仿宋_GB2312" w:hAnsi="仿宋_GB2312" w:eastAsia="仿宋_GB2312" w:cs="仿宋_GB2312"/>
          <w:b w:val="0"/>
          <w:bCs/>
          <w:sz w:val="32"/>
          <w:szCs w:val="32"/>
          <w:highlight w:val="none"/>
        </w:rPr>
      </w:pPr>
      <w:r>
        <w:rPr>
          <w:rFonts w:hint="eastAsia" w:ascii="仿宋_GB2312" w:hAnsi="仿宋_GB2312" w:eastAsia="仿宋_GB2312" w:cs="仿宋_GB2312"/>
          <w:b w:val="0"/>
          <w:bCs/>
          <w:sz w:val="32"/>
          <w:szCs w:val="32"/>
          <w:highlight w:val="none"/>
        </w:rPr>
        <w:t xml:space="preserve">联系人及电话： </w:t>
      </w:r>
    </w:p>
    <w:p w14:paraId="04A0653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highlight w:val="none"/>
        </w:rPr>
      </w:pPr>
    </w:p>
    <w:p w14:paraId="25FDF80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乙方： </w:t>
      </w:r>
    </w:p>
    <w:p w14:paraId="680791A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地址： </w:t>
      </w:r>
    </w:p>
    <w:p w14:paraId="4B97F02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联系人及电话： </w:t>
      </w:r>
    </w:p>
    <w:p w14:paraId="402DBCEF">
      <w:pPr>
        <w:keepNext w:val="0"/>
        <w:keepLines w:val="0"/>
        <w:pageBreakBefore w:val="0"/>
        <w:widowControl w:val="0"/>
        <w:kinsoku/>
        <w:wordWrap/>
        <w:overflowPunct/>
        <w:topLinePunct w:val="0"/>
        <w:autoSpaceDE/>
        <w:autoSpaceDN/>
        <w:bidi w:val="0"/>
        <w:adjustRightInd/>
        <w:snapToGrid/>
        <w:spacing w:line="560" w:lineRule="exact"/>
        <w:ind w:firstLine="729" w:firstLineChars="228"/>
        <w:textAlignment w:val="auto"/>
        <w:rPr>
          <w:rFonts w:hint="eastAsia" w:ascii="仿宋_GB2312" w:hAnsi="仿宋_GB2312" w:eastAsia="仿宋_GB2312" w:cs="仿宋_GB2312"/>
          <w:bCs/>
          <w:sz w:val="32"/>
          <w:szCs w:val="32"/>
          <w:highlight w:val="none"/>
        </w:rPr>
      </w:pPr>
    </w:p>
    <w:p w14:paraId="77BAE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甲方经招标采购程序，确定乙方为甲方</w:t>
      </w:r>
      <w:r>
        <w:rPr>
          <w:rFonts w:hint="eastAsia" w:ascii="仿宋_GB2312" w:hAnsi="仿宋_GB2312" w:eastAsia="仿宋_GB2312" w:cs="仿宋_GB2312"/>
          <w:bCs/>
          <w:sz w:val="32"/>
          <w:szCs w:val="32"/>
          <w:highlight w:val="none"/>
          <w:lang w:eastAsia="zh-CN"/>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年度外派员工</w:t>
      </w:r>
      <w:r>
        <w:rPr>
          <w:rFonts w:hint="eastAsia" w:ascii="仿宋_GB2312" w:hAnsi="仿宋_GB2312" w:eastAsia="仿宋_GB2312" w:cs="仿宋_GB2312"/>
          <w:bCs/>
          <w:sz w:val="32"/>
          <w:szCs w:val="32"/>
          <w:highlight w:val="none"/>
          <w:lang w:val="en-US" w:eastAsia="zh-CN"/>
        </w:rPr>
        <w:t>健康</w:t>
      </w:r>
      <w:r>
        <w:rPr>
          <w:rFonts w:hint="eastAsia" w:ascii="仿宋_GB2312" w:hAnsi="仿宋_GB2312" w:eastAsia="仿宋_GB2312" w:cs="仿宋_GB2312"/>
          <w:bCs/>
          <w:sz w:val="32"/>
          <w:szCs w:val="32"/>
          <w:highlight w:val="none"/>
        </w:rPr>
        <w:t>体检采购项目（项目编号：PLHR-ZB-FW-</w:t>
      </w:r>
      <w:r>
        <w:rPr>
          <w:rFonts w:hint="eastAsia" w:ascii="仿宋_GB2312" w:hAnsi="仿宋_GB2312" w:eastAsia="仿宋_GB2312" w:cs="仿宋_GB2312"/>
          <w:bCs/>
          <w:sz w:val="32"/>
          <w:szCs w:val="32"/>
          <w:highlight w:val="none"/>
          <w:lang w:eastAsia="zh-CN"/>
        </w:rPr>
        <w:t>20240601</w:t>
      </w:r>
      <w:r>
        <w:rPr>
          <w:rFonts w:hint="eastAsia" w:ascii="仿宋_GB2312" w:hAnsi="仿宋_GB2312" w:eastAsia="仿宋_GB2312" w:cs="仿宋_GB2312"/>
          <w:bCs/>
          <w:sz w:val="32"/>
          <w:szCs w:val="32"/>
          <w:highlight w:val="none"/>
        </w:rPr>
        <w:t>）中标方，双方本着平等合作、互惠互利的原则订立本服务合同，就乙方为甲方外派员工提供体检服务事宜约定如下：</w:t>
      </w:r>
    </w:p>
    <w:p w14:paraId="230AEF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第一条 合作内容</w:t>
      </w:r>
    </w:p>
    <w:p w14:paraId="456DD6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甲方同意由乙方为甲方外派员工提供健康体检服务，甲方根据经营管理情况预计体检总人数为</w:t>
      </w:r>
      <w:r>
        <w:rPr>
          <w:rFonts w:hint="eastAsia" w:ascii="仿宋_GB2312" w:hAnsi="仿宋_GB2312" w:eastAsia="仿宋_GB2312" w:cs="仿宋_GB2312"/>
          <w:bCs/>
          <w:sz w:val="32"/>
          <w:szCs w:val="32"/>
          <w:highlight w:val="none"/>
          <w:u w:val="single"/>
          <w:lang w:val="en-US" w:eastAsia="zh-CN"/>
        </w:rPr>
        <w:t>786</w:t>
      </w:r>
      <w:r>
        <w:rPr>
          <w:rFonts w:hint="eastAsia" w:ascii="仿宋_GB2312" w:hAnsi="仿宋_GB2312" w:eastAsia="仿宋_GB2312" w:cs="仿宋_GB2312"/>
          <w:bCs/>
          <w:sz w:val="32"/>
          <w:szCs w:val="32"/>
          <w:highlight w:val="none"/>
        </w:rPr>
        <w:t>人。乙方知悉并理解该人数存在合理浮动，体检结束后按照实际参加体检人数实施结算，具体人员及服务实施区域以甲方项目招标文件为准。</w:t>
      </w:r>
    </w:p>
    <w:p w14:paraId="44BE5BF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本合同项下体检总金额约为人民币</w:t>
      </w:r>
      <w:r>
        <w:rPr>
          <w:rFonts w:hint="eastAsia" w:ascii="仿宋_GB2312" w:hAnsi="仿宋_GB2312" w:eastAsia="仿宋_GB2312" w:cs="仿宋_GB2312"/>
          <w:bCs/>
          <w:sz w:val="32"/>
          <w:szCs w:val="32"/>
          <w:highlight w:val="none"/>
          <w:u w:val="single"/>
        </w:rPr>
        <w:t>待招标确定</w:t>
      </w:r>
      <w:r>
        <w:rPr>
          <w:rFonts w:hint="eastAsia" w:ascii="仿宋_GB2312" w:hAnsi="仿宋_GB2312" w:eastAsia="仿宋_GB2312" w:cs="仿宋_GB2312"/>
          <w:bCs/>
          <w:sz w:val="32"/>
          <w:szCs w:val="32"/>
          <w:highlight w:val="none"/>
        </w:rPr>
        <w:t>元（下简称“合同金额”）。如因甲方或甲方外派员工原因造成约定服务有效期前到检率过低，甲方按照第一条第（一）款预计体检人数的50%进行结算。</w:t>
      </w:r>
    </w:p>
    <w:p w14:paraId="2333A1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rPr>
        <w:t>乙方提供的随附服务按照乙方中标的投标文件承诺执行。</w:t>
      </w:r>
    </w:p>
    <w:p w14:paraId="6CDEF9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第二条 体检时间</w:t>
      </w:r>
    </w:p>
    <w:p w14:paraId="78D111C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甲乙双方确定的集中体检时间为：合同订立日期开始到</w:t>
      </w:r>
      <w:r>
        <w:rPr>
          <w:rFonts w:hint="eastAsia" w:ascii="仿宋_GB2312" w:hAnsi="仿宋_GB2312" w:eastAsia="仿宋_GB2312" w:cs="仿宋_GB2312"/>
          <w:bCs/>
          <w:sz w:val="32"/>
          <w:szCs w:val="32"/>
          <w:highlight w:val="none"/>
          <w:lang w:eastAsia="zh-CN"/>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年11月30日，此期限内，乙方应为甲方外派员工预留企业客户体检专区，为甲方外派员工集中体检提供便利。甲方应组织、安排其员工于该时间期限内参加体检以便获取企业客户体检专门服务。</w:t>
      </w:r>
    </w:p>
    <w:p w14:paraId="4D21AB2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rPr>
        <w:t>如少数甲方外派员工因个人原因超过以上时限未体检的，乙方同意于</w:t>
      </w:r>
      <w:r>
        <w:rPr>
          <w:rFonts w:hint="eastAsia" w:ascii="仿宋_GB2312" w:hAnsi="仿宋_GB2312" w:eastAsia="仿宋_GB2312" w:cs="仿宋_GB2312"/>
          <w:bCs/>
          <w:sz w:val="32"/>
          <w:szCs w:val="32"/>
          <w:highlight w:val="none"/>
          <w:lang w:eastAsia="zh-CN"/>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年12月1日-</w:t>
      </w:r>
      <w:r>
        <w:rPr>
          <w:rFonts w:hint="eastAsia" w:ascii="仿宋_GB2312" w:hAnsi="仿宋_GB2312" w:eastAsia="仿宋_GB2312" w:cs="仿宋_GB2312"/>
          <w:bCs/>
          <w:sz w:val="32"/>
          <w:szCs w:val="32"/>
          <w:highlight w:val="none"/>
          <w:lang w:eastAsia="zh-CN"/>
        </w:rPr>
        <w:t>202</w:t>
      </w:r>
      <w:r>
        <w:rPr>
          <w:rFonts w:hint="eastAsia" w:ascii="仿宋_GB2312" w:hAnsi="仿宋_GB2312" w:eastAsia="仿宋_GB2312" w:cs="仿宋_GB2312"/>
          <w:bCs/>
          <w:sz w:val="32"/>
          <w:szCs w:val="32"/>
          <w:highlight w:val="none"/>
          <w:lang w:val="en-US" w:eastAsia="zh-CN"/>
        </w:rPr>
        <w:t>4</w:t>
      </w:r>
      <w:r>
        <w:rPr>
          <w:rFonts w:hint="eastAsia" w:ascii="仿宋_GB2312" w:hAnsi="仿宋_GB2312" w:eastAsia="仿宋_GB2312" w:cs="仿宋_GB2312"/>
          <w:bCs/>
          <w:sz w:val="32"/>
          <w:szCs w:val="32"/>
          <w:highlight w:val="none"/>
        </w:rPr>
        <w:t>年12月31日之间为甲方员工提供补检服务，但补检服务不设置企业客户体检专区。</w:t>
      </w:r>
    </w:p>
    <w:p w14:paraId="6289BF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rPr>
        <w:t>如甲方因故需再行延长体检服务有效期限的，双方协商一致后，另行订立补充协议。</w:t>
      </w:r>
    </w:p>
    <w:p w14:paraId="541E7D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第三条 费用与结算</w:t>
      </w:r>
    </w:p>
    <w:p w14:paraId="42C2AA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一、</w:t>
      </w:r>
      <w:r>
        <w:rPr>
          <w:rFonts w:hint="eastAsia" w:ascii="仿宋_GB2312" w:hAnsi="仿宋_GB2312" w:eastAsia="仿宋_GB2312" w:cs="仿宋_GB2312"/>
          <w:bCs/>
          <w:sz w:val="32"/>
          <w:szCs w:val="32"/>
          <w:highlight w:val="none"/>
        </w:rPr>
        <w:t>甲方员工的健康体检服务费由甲方统一结算，如乙方同意为甲方员工家属提供个人体检优惠的，甲方员工家属体检服务费由体检人自行在乙方体检中心付款。</w:t>
      </w:r>
    </w:p>
    <w:p w14:paraId="09076FC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二、（具体费用结算方式根据投标情况择优确定），</w:t>
      </w:r>
      <w:r>
        <w:rPr>
          <w:rFonts w:hint="eastAsia" w:ascii="仿宋_GB2312" w:hAnsi="仿宋_GB2312" w:eastAsia="仿宋_GB2312" w:cs="仿宋_GB2312"/>
          <w:bCs/>
          <w:sz w:val="32"/>
          <w:szCs w:val="32"/>
          <w:highlight w:val="none"/>
        </w:rPr>
        <w:t>乙方于收款后</w:t>
      </w:r>
      <w:r>
        <w:rPr>
          <w:rFonts w:hint="eastAsia" w:ascii="仿宋_GB2312" w:hAnsi="仿宋_GB2312" w:eastAsia="仿宋_GB2312" w:cs="仿宋_GB2312"/>
          <w:bCs/>
          <w:sz w:val="32"/>
          <w:szCs w:val="32"/>
          <w:highlight w:val="none"/>
          <w:u w:val="single"/>
        </w:rPr>
        <w:t>3</w:t>
      </w:r>
      <w:r>
        <w:rPr>
          <w:rFonts w:hint="eastAsia" w:ascii="仿宋_GB2312" w:hAnsi="仿宋_GB2312" w:eastAsia="仿宋_GB2312" w:cs="仿宋_GB2312"/>
          <w:bCs/>
          <w:sz w:val="32"/>
          <w:szCs w:val="32"/>
          <w:highlight w:val="none"/>
        </w:rPr>
        <w:t>个工作日内开具符合国家法律法规规定的对应金额增值税发票。</w:t>
      </w:r>
    </w:p>
    <w:p w14:paraId="5447D9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rPr>
        <w:t>乙方仅接受银行转账支付，具体账户信息如下：</w:t>
      </w:r>
    </w:p>
    <w:p w14:paraId="59816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账户名称：（中标方填写）</w:t>
      </w:r>
    </w:p>
    <w:p w14:paraId="5B8D59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开户行：  （中标方填写）</w:t>
      </w:r>
    </w:p>
    <w:p w14:paraId="760264F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银行账号： （中标方填写）</w:t>
      </w:r>
    </w:p>
    <w:p w14:paraId="64D114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四、</w:t>
      </w:r>
      <w:r>
        <w:rPr>
          <w:rFonts w:hint="eastAsia" w:ascii="仿宋_GB2312" w:hAnsi="仿宋_GB2312" w:eastAsia="仿宋_GB2312" w:cs="仿宋_GB2312"/>
          <w:bCs/>
          <w:sz w:val="32"/>
          <w:szCs w:val="32"/>
          <w:highlight w:val="none"/>
        </w:rPr>
        <w:t>如非乙方原因甲方未能按合同约定及时付款，乙方有权暂停服务，甲方支付款项后乙方将重启服务。因甲方不按合同约定付款而导致乙方暂停服务的，乙方不承担违约责任。</w:t>
      </w:r>
    </w:p>
    <w:p w14:paraId="06DBC0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五、</w:t>
      </w:r>
      <w:r>
        <w:rPr>
          <w:rFonts w:hint="eastAsia" w:ascii="仿宋_GB2312" w:hAnsi="仿宋_GB2312" w:eastAsia="仿宋_GB2312" w:cs="仿宋_GB2312"/>
          <w:bCs/>
          <w:sz w:val="32"/>
          <w:szCs w:val="32"/>
          <w:highlight w:val="none"/>
        </w:rPr>
        <w:t>因乙方延迟交付准确资料导致支付依据不足的情形，乙方不得中止或终止服务。</w:t>
      </w:r>
    </w:p>
    <w:p w14:paraId="6497AD7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第四条 双方权利与义务</w:t>
      </w:r>
    </w:p>
    <w:p w14:paraId="1DED7B2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lang w:val="en-US" w:eastAsia="zh-CN"/>
        </w:rPr>
        <w:t>一、</w:t>
      </w:r>
      <w:r>
        <w:rPr>
          <w:rFonts w:hint="eastAsia" w:ascii="楷体_GB2312" w:hAnsi="楷体_GB2312" w:eastAsia="楷体_GB2312" w:cs="楷体_GB2312"/>
          <w:bCs/>
          <w:sz w:val="32"/>
          <w:szCs w:val="32"/>
          <w:highlight w:val="none"/>
        </w:rPr>
        <w:t>甲方权利义务</w:t>
      </w:r>
    </w:p>
    <w:p w14:paraId="23037FC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甲方有权要求乙方为甲方员工提供优质服务，并应对乙方的服务提供必要的协助；</w:t>
      </w:r>
    </w:p>
    <w:p w14:paraId="52B905A4">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甲方应按乙方要求告知其员工携带身份证、体检凭证等相关资料以进行身份确认；</w:t>
      </w:r>
    </w:p>
    <w:p w14:paraId="7DF7D8C3">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甲方按合同约定向乙方支付体检费用；</w:t>
      </w:r>
    </w:p>
    <w:p w14:paraId="322608C0">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若甲方需要统一收取其员工的体检报告，则需要事先取得其员工的书面同意。否则由此导致的纠纷由甲方自行解决，乙方由此受到任何损失的，甲方对此承担一切赔偿责任。</w:t>
      </w:r>
    </w:p>
    <w:p w14:paraId="16547C5C">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甲方负有保密义务，在未获得乙方书面允许的情况下，不得向第三方披露有关乙方的数据资料和内容，以及任何与本合同有关的信息。</w:t>
      </w:r>
    </w:p>
    <w:p w14:paraId="46AE0B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lang w:val="en-US" w:eastAsia="zh-CN"/>
        </w:rPr>
        <w:t>二、</w:t>
      </w:r>
      <w:r>
        <w:rPr>
          <w:rFonts w:hint="eastAsia" w:ascii="楷体_GB2312" w:hAnsi="楷体_GB2312" w:eastAsia="楷体_GB2312" w:cs="楷体_GB2312"/>
          <w:bCs/>
          <w:sz w:val="32"/>
          <w:szCs w:val="32"/>
          <w:highlight w:val="none"/>
        </w:rPr>
        <w:t>乙方权利义务</w:t>
      </w:r>
    </w:p>
    <w:p w14:paraId="7F5C929B">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乙方有权按合同规定要求甲方按期付款；</w:t>
      </w:r>
    </w:p>
    <w:p w14:paraId="17C61B85">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乙方应按本合同约定的时间及方式安排甲方员工体检；</w:t>
      </w:r>
    </w:p>
    <w:p w14:paraId="7ECBC381">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乙方有权以合法合规且不违背甲方外派员工个人自主意愿的方式向甲方员工宣传“健康管理”的理念，其所宣传的理念、信息不得违反国家医疗卫生健康管理的法律法规和政策规定；</w:t>
      </w:r>
    </w:p>
    <w:p w14:paraId="50F06413">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乙方负有保密义务，在未获得甲方书面允许的情况下，不得向第三方披露有关甲方的数据资料和内容，以及任何与本合同有关的信息。</w:t>
      </w:r>
    </w:p>
    <w:p w14:paraId="57F1E0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val="en-US" w:eastAsia="zh-CN"/>
        </w:rPr>
        <w:t>五</w:t>
      </w:r>
      <w:r>
        <w:rPr>
          <w:rFonts w:hint="eastAsia" w:ascii="黑体" w:hAnsi="黑体" w:eastAsia="黑体" w:cs="黑体"/>
          <w:bCs/>
          <w:sz w:val="32"/>
          <w:szCs w:val="32"/>
          <w:highlight w:val="none"/>
        </w:rPr>
        <w:t>条 违约责任</w:t>
      </w:r>
    </w:p>
    <w:p w14:paraId="21E49E91">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甲、乙双方均应严格遵守本合同的约定，如有违约，违约方应对由此给守约方造成的损失据实承担赔偿责任；</w:t>
      </w:r>
    </w:p>
    <w:p w14:paraId="102F7E17">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如甲方未按时履行付款义务，则每延迟1日，应向乙方支付应付金额的千分之五作为滞纳金，超过30日仍未付款的，乙方有权解除本协议，甲方除支付滞纳金外，还应对由此给乙方造成的损失承担赔偿责任。因乙方原因导致服务或结算资料交付延迟的，甲方不承担本条所述责任。</w:t>
      </w:r>
    </w:p>
    <w:p w14:paraId="28008E8E">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如乙方未按约定提供服务，则应向甲方支付按无法提供服务的金额的20%承担违约责任，甲方有权即时解除本协议，甲方由此受到损失的，乙方据实承担赔偿责任。</w:t>
      </w:r>
    </w:p>
    <w:p w14:paraId="7E3B3040">
      <w:pPr>
        <w:keepNext w:val="0"/>
        <w:keepLines w:val="0"/>
        <w:pageBreakBefore w:val="0"/>
        <w:widowControl w:val="0"/>
        <w:numPr>
          <w:ilvl w:val="0"/>
          <w:numId w:val="9"/>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如发生合同订立时不能预见、不能避免并不能克服的客观情况，包括疫情或其他社会异常事件引起的政府管制行为、自然灾害、其他突发社会异常事件等不可抗力因素导致本合同无法履行的，甲乙双方同意根据实际情况协商顺延或解除合同，双方均不需承担赔偿责任。</w:t>
      </w:r>
    </w:p>
    <w:p w14:paraId="430540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第</w:t>
      </w:r>
      <w:r>
        <w:rPr>
          <w:rFonts w:hint="eastAsia" w:ascii="黑体" w:hAnsi="黑体" w:eastAsia="黑体" w:cs="黑体"/>
          <w:bCs/>
          <w:sz w:val="32"/>
          <w:szCs w:val="32"/>
          <w:highlight w:val="none"/>
          <w:lang w:val="en-US" w:eastAsia="zh-CN"/>
        </w:rPr>
        <w:t>六</w:t>
      </w:r>
      <w:r>
        <w:rPr>
          <w:rFonts w:hint="eastAsia" w:ascii="黑体" w:hAnsi="黑体" w:eastAsia="黑体" w:cs="黑体"/>
          <w:bCs/>
          <w:sz w:val="32"/>
          <w:szCs w:val="32"/>
          <w:highlight w:val="none"/>
        </w:rPr>
        <w:t>条 争议解决</w:t>
      </w:r>
    </w:p>
    <w:p w14:paraId="231581FD">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乙方恪守法律法规和诊疗常规，提供业内优质的服务，切实保证检查质量。但由于健康体检属医疗行为，其结果由于受检人个体差异、疾病发展窗口期、医学技术限制等因素具有一定的不可预知性，为尽可能提供优质检查服务，需要甲方参检人员积极配合乙方检查，主动提供既往健康状况，为乙方准确判断并做出检查结论提供重要参考。</w:t>
      </w:r>
    </w:p>
    <w:p w14:paraId="18A87B21">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甲乙双方一致同意乙方对所有经国家权威机构鉴定乙方存在过错的事件及因素负责，对于因项目自主选择、医疗技术发展限制、受检者自身配合问题所造成误差与意外，乙方不需承担责任。</w:t>
      </w:r>
    </w:p>
    <w:p w14:paraId="454715C5">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甲乙双方同意对于因本合同的执行、理解产生的争议，甲乙双方一致同意首先通过友好协商解决。如争议未能于协商开始之日起的30日内解决，则任何一方均可将争议事项提交深圳市罗湖区人民法院提出诉讼。</w:t>
      </w:r>
    </w:p>
    <w:p w14:paraId="7A7D0746">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lang w:val="en-US" w:eastAsia="zh-CN"/>
        </w:rPr>
        <w:t>第七条 禁止贿赂</w:t>
      </w:r>
    </w:p>
    <w:p w14:paraId="4CEE13A7">
      <w:pPr>
        <w:keepNext w:val="0"/>
        <w:keepLines w:val="0"/>
        <w:pageBreakBefore w:val="0"/>
        <w:widowControl w:val="0"/>
        <w:numPr>
          <w:ilvl w:val="0"/>
          <w:numId w:val="11"/>
        </w:numPr>
        <w:kinsoku w:val="0"/>
        <w:wordWrap w:val="0"/>
        <w:overflowPunct/>
        <w:topLinePunct/>
        <w:autoSpaceDE/>
        <w:autoSpaceDN/>
        <w:bidi w:val="0"/>
        <w:adjustRightInd/>
        <w:snapToGrid/>
        <w:spacing w:before="120" w:beforeLines="5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甲乙双方同时遵守《供需双方廉洁互保协议》。</w:t>
      </w:r>
    </w:p>
    <w:p w14:paraId="712B513C">
      <w:pPr>
        <w:keepNext w:val="0"/>
        <w:keepLines w:val="0"/>
        <w:pageBreakBefore w:val="0"/>
        <w:widowControl w:val="0"/>
        <w:numPr>
          <w:ilvl w:val="0"/>
          <w:numId w:val="11"/>
        </w:numPr>
        <w:kinsoku w:val="0"/>
        <w:wordWrap w:val="0"/>
        <w:overflowPunct/>
        <w:topLinePunct/>
        <w:autoSpaceDE/>
        <w:autoSpaceDN/>
        <w:bidi w:val="0"/>
        <w:adjustRightInd/>
        <w:snapToGrid/>
        <w:spacing w:before="120" w:beforeLines="50"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color w:val="000000"/>
          <w:sz w:val="32"/>
          <w:szCs w:val="32"/>
          <w:highlight w:val="none"/>
        </w:rPr>
        <w:t>若任何一方违反《供需双方廉洁互保协议》，视同违约。守约方有权以书面形式通知违约方单方终止本合同，同时保留依法采取进一步法律措施的权利，违约方应承担由此给守约方带来的一切损失。</w:t>
      </w:r>
    </w:p>
    <w:p w14:paraId="1DE47600">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第八条 合同生效及其他</w:t>
      </w:r>
    </w:p>
    <w:p w14:paraId="0200D406">
      <w:pPr>
        <w:pStyle w:val="20"/>
        <w:keepNext w:val="0"/>
        <w:keepLines w:val="0"/>
        <w:pageBreakBefore w:val="0"/>
        <w:widowControl w:val="0"/>
        <w:numPr>
          <w:ilvl w:val="0"/>
          <w:numId w:val="12"/>
        </w:numPr>
        <w:kinsoku w:val="0"/>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本合同自双方授权代表签字并加盖公章后生效，</w:t>
      </w:r>
      <w:r>
        <w:rPr>
          <w:rFonts w:hint="eastAsia" w:ascii="仿宋_GB2312" w:hAnsi="仿宋_GB2312" w:eastAsia="仿宋_GB2312" w:cs="仿宋_GB2312"/>
          <w:b w:val="0"/>
          <w:bCs/>
          <w:sz w:val="32"/>
          <w:szCs w:val="32"/>
          <w:highlight w:val="none"/>
        </w:rPr>
        <w:t>本项目期限为订立合同之日起至招标人指定</w:t>
      </w:r>
      <w:r>
        <w:rPr>
          <w:rFonts w:hint="eastAsia" w:ascii="仿宋_GB2312" w:hAnsi="仿宋_GB2312" w:eastAsia="仿宋_GB2312" w:cs="仿宋_GB2312"/>
          <w:b w:val="0"/>
          <w:bCs/>
          <w:sz w:val="32"/>
          <w:szCs w:val="32"/>
          <w:highlight w:val="none"/>
          <w:lang w:eastAsia="zh-CN"/>
        </w:rPr>
        <w:t>员工</w:t>
      </w:r>
      <w:r>
        <w:rPr>
          <w:rFonts w:hint="eastAsia" w:ascii="仿宋_GB2312" w:hAnsi="仿宋_GB2312" w:eastAsia="仿宋_GB2312" w:cs="仿宋_GB2312"/>
          <w:b w:val="0"/>
          <w:bCs/>
          <w:sz w:val="32"/>
          <w:szCs w:val="32"/>
          <w:highlight w:val="none"/>
        </w:rPr>
        <w:t>年度</w:t>
      </w:r>
      <w:r>
        <w:rPr>
          <w:rFonts w:hint="eastAsia" w:ascii="仿宋_GB2312" w:hAnsi="仿宋_GB2312" w:eastAsia="仿宋_GB2312" w:cs="仿宋_GB2312"/>
          <w:b w:val="0"/>
          <w:bCs/>
          <w:sz w:val="32"/>
          <w:szCs w:val="32"/>
          <w:highlight w:val="none"/>
          <w:lang w:eastAsia="zh-CN"/>
        </w:rPr>
        <w:t>健康</w:t>
      </w:r>
      <w:r>
        <w:rPr>
          <w:rFonts w:hint="eastAsia" w:ascii="仿宋_GB2312" w:hAnsi="仿宋_GB2312" w:eastAsia="仿宋_GB2312" w:cs="仿宋_GB2312"/>
          <w:b w:val="0"/>
          <w:bCs/>
          <w:sz w:val="32"/>
          <w:szCs w:val="32"/>
          <w:highlight w:val="none"/>
        </w:rPr>
        <w:t>体检全部完成</w:t>
      </w:r>
      <w:r>
        <w:rPr>
          <w:rFonts w:hint="eastAsia" w:ascii="仿宋_GB2312" w:hAnsi="仿宋_GB2312" w:eastAsia="仿宋_GB2312" w:cs="仿宋_GB2312"/>
          <w:b w:val="0"/>
          <w:bCs/>
          <w:sz w:val="32"/>
          <w:szCs w:val="32"/>
          <w:highlight w:val="none"/>
          <w:lang w:eastAsia="zh-CN"/>
        </w:rPr>
        <w:t>，招标人</w:t>
      </w:r>
      <w:r>
        <w:rPr>
          <w:rFonts w:hint="eastAsia" w:ascii="仿宋_GB2312" w:hAnsi="仿宋_GB2312" w:eastAsia="仿宋_GB2312" w:cs="仿宋_GB2312"/>
          <w:b w:val="0"/>
          <w:bCs/>
          <w:sz w:val="32"/>
          <w:szCs w:val="32"/>
          <w:highlight w:val="none"/>
          <w:lang w:val="en-US" w:eastAsia="zh-CN"/>
        </w:rPr>
        <w:t>外派</w:t>
      </w:r>
      <w:r>
        <w:rPr>
          <w:rFonts w:hint="eastAsia" w:ascii="仿宋_GB2312" w:hAnsi="仿宋_GB2312" w:eastAsia="仿宋_GB2312" w:cs="仿宋_GB2312"/>
          <w:b w:val="0"/>
          <w:bCs/>
          <w:sz w:val="32"/>
          <w:szCs w:val="32"/>
          <w:highlight w:val="none"/>
          <w:lang w:eastAsia="zh-CN"/>
        </w:rPr>
        <w:t>员工自行放弃体检的情况除外。</w:t>
      </w:r>
    </w:p>
    <w:p w14:paraId="50D38A00">
      <w:pPr>
        <w:keepNext w:val="0"/>
        <w:keepLines w:val="0"/>
        <w:pageBreakBefore w:val="0"/>
        <w:widowControl w:val="0"/>
        <w:numPr>
          <w:ilvl w:val="0"/>
          <w:numId w:val="12"/>
        </w:numPr>
        <w:kinsoku w:val="0"/>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本合同期满后，双方未了债权债务不受合同期满的影响，债务人应对债权人继续完成未了债务。</w:t>
      </w:r>
    </w:p>
    <w:p w14:paraId="42D4B704">
      <w:pPr>
        <w:keepNext w:val="0"/>
        <w:keepLines w:val="0"/>
        <w:pageBreakBefore w:val="0"/>
        <w:widowControl w:val="0"/>
        <w:numPr>
          <w:ilvl w:val="0"/>
          <w:numId w:val="12"/>
        </w:numPr>
        <w:kinsoku w:val="0"/>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color w:val="000000"/>
          <w:sz w:val="32"/>
          <w:szCs w:val="32"/>
          <w:highlight w:val="none"/>
        </w:rPr>
        <w:t>合同正本一式肆份，双方各执贰份，</w:t>
      </w:r>
      <w:r>
        <w:rPr>
          <w:rFonts w:hint="eastAsia" w:ascii="仿宋_GB2312" w:hAnsi="仿宋_GB2312" w:eastAsia="仿宋_GB2312" w:cs="仿宋_GB2312"/>
          <w:bCs/>
          <w:sz w:val="32"/>
          <w:szCs w:val="32"/>
          <w:highlight w:val="none"/>
        </w:rPr>
        <w:t>均具同等法律效力，经双方授权代表签字并加盖公章后生效。</w:t>
      </w:r>
    </w:p>
    <w:p w14:paraId="1944618A">
      <w:pPr>
        <w:keepNext w:val="0"/>
        <w:keepLines w:val="0"/>
        <w:pageBreakBefore w:val="0"/>
        <w:widowControl w:val="0"/>
        <w:numPr>
          <w:ilvl w:val="0"/>
          <w:numId w:val="12"/>
        </w:numPr>
        <w:kinsoku w:val="0"/>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除非本合同另有规定或双方同意，否则本合同规定的一切通知、文件资料均应采用书面形式，送交对方的主要营业地址或双方为此而指定的其他地址。</w:t>
      </w:r>
    </w:p>
    <w:p w14:paraId="423DD0EC">
      <w:pPr>
        <w:keepNext w:val="0"/>
        <w:keepLines w:val="0"/>
        <w:pageBreakBefore w:val="0"/>
        <w:widowControl w:val="0"/>
        <w:numPr>
          <w:ilvl w:val="0"/>
          <w:numId w:val="12"/>
        </w:numPr>
        <w:kinsoku w:val="0"/>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以下文件均招均为本合同的有效组成部分，与合同正文具有同等法律效力。若合同附件与合同正文存在冲突的，双方均同意按照有利于甲方的条款执行。</w:t>
      </w:r>
    </w:p>
    <w:p w14:paraId="026B4441">
      <w:pPr>
        <w:pStyle w:val="31"/>
        <w:keepNext w:val="0"/>
        <w:keepLines w:val="0"/>
        <w:pageBreakBefore w:val="0"/>
        <w:widowControl w:val="0"/>
        <w:numPr>
          <w:ilvl w:val="0"/>
          <w:numId w:val="13"/>
        </w:numPr>
        <w:kinsoku w:val="0"/>
        <w:wordWrap w:val="0"/>
        <w:overflowPunct/>
        <w:topLinePunct/>
        <w:autoSpaceDE/>
        <w:autoSpaceDN/>
        <w:bidi w:val="0"/>
        <w:adjustRightInd/>
        <w:snapToGrid/>
        <w:spacing w:beforeLines="0" w:after="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甲方作为项目采购人发布的编号为</w:t>
      </w:r>
      <w:r>
        <w:rPr>
          <w:rFonts w:hint="eastAsia" w:ascii="仿宋_GB2312" w:hAnsi="仿宋_GB2312" w:eastAsia="仿宋_GB2312" w:cs="仿宋_GB2312"/>
          <w:bCs/>
          <w:sz w:val="32"/>
          <w:szCs w:val="32"/>
          <w:highlight w:val="none"/>
          <w:u w:val="single"/>
        </w:rPr>
        <w:t>PLHR-ZB-FW-</w:t>
      </w:r>
      <w:r>
        <w:rPr>
          <w:rFonts w:hint="eastAsia" w:ascii="仿宋_GB2312" w:hAnsi="仿宋_GB2312" w:cs="仿宋_GB2312"/>
          <w:bCs/>
          <w:sz w:val="32"/>
          <w:szCs w:val="32"/>
          <w:highlight w:val="none"/>
          <w:u w:val="single"/>
          <w:lang w:eastAsia="zh-CN"/>
        </w:rPr>
        <w:t>20240601</w:t>
      </w:r>
      <w:r>
        <w:rPr>
          <w:rFonts w:hint="eastAsia" w:ascii="仿宋_GB2312" w:hAnsi="仿宋_GB2312" w:eastAsia="仿宋_GB2312" w:cs="仿宋_GB2312"/>
          <w:color w:val="000000"/>
          <w:sz w:val="32"/>
          <w:szCs w:val="32"/>
          <w:highlight w:val="none"/>
        </w:rPr>
        <w:t>的招标文件。</w:t>
      </w:r>
    </w:p>
    <w:p w14:paraId="1930BAD8">
      <w:pPr>
        <w:pStyle w:val="31"/>
        <w:keepNext w:val="0"/>
        <w:keepLines w:val="0"/>
        <w:pageBreakBefore w:val="0"/>
        <w:widowControl w:val="0"/>
        <w:numPr>
          <w:ilvl w:val="0"/>
          <w:numId w:val="13"/>
        </w:numPr>
        <w:kinsoku w:val="0"/>
        <w:wordWrap w:val="0"/>
        <w:overflowPunct/>
        <w:topLinePunct/>
        <w:autoSpaceDE/>
        <w:autoSpaceDN/>
        <w:bidi w:val="0"/>
        <w:adjustRightInd/>
        <w:snapToGrid/>
        <w:spacing w:beforeLines="0" w:after="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乙方作为项目投标人对本项目招标做出实质响应的投标文件及其随附材料。</w:t>
      </w:r>
    </w:p>
    <w:p w14:paraId="507A1B21">
      <w:pPr>
        <w:pStyle w:val="31"/>
        <w:keepNext w:val="0"/>
        <w:keepLines w:val="0"/>
        <w:pageBreakBefore w:val="0"/>
        <w:widowControl w:val="0"/>
        <w:numPr>
          <w:ilvl w:val="0"/>
          <w:numId w:val="13"/>
        </w:numPr>
        <w:kinsoku/>
        <w:wordWrap w:val="0"/>
        <w:overflowPunct/>
        <w:topLinePunct/>
        <w:autoSpaceDE/>
        <w:autoSpaceDN/>
        <w:bidi w:val="0"/>
        <w:adjustRightInd/>
        <w:snapToGrid/>
        <w:spacing w:beforeLines="0" w:after="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投标人在投标或标后合同谈判现场做出的由乙方投标代表实施的述标内容、述标文件及经乙方谈判代表签字确认的谈判记录。</w:t>
      </w:r>
    </w:p>
    <w:p w14:paraId="12538973">
      <w:pPr>
        <w:pStyle w:val="31"/>
        <w:keepNext w:val="0"/>
        <w:keepLines w:val="0"/>
        <w:pageBreakBefore w:val="0"/>
        <w:widowControl w:val="0"/>
        <w:numPr>
          <w:ilvl w:val="0"/>
          <w:numId w:val="13"/>
        </w:numPr>
        <w:kinsoku w:val="0"/>
        <w:wordWrap w:val="0"/>
        <w:overflowPunct/>
        <w:topLinePunct/>
        <w:autoSpaceDE/>
        <w:autoSpaceDN/>
        <w:bidi w:val="0"/>
        <w:adjustRightInd/>
        <w:snapToGrid/>
        <w:spacing w:beforeLines="0" w:after="0"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本合同附件（《供需双方廉洁互保协议》、《深圳市鹏劳人力资源管理有限公司供应商环境及职业健康安全体系符合性承诺书》）</w:t>
      </w:r>
    </w:p>
    <w:p w14:paraId="629559B2">
      <w:pPr>
        <w:keepNext w:val="0"/>
        <w:keepLines w:val="0"/>
        <w:pageBreakBefore w:val="0"/>
        <w:widowControl w:val="0"/>
        <w:numPr>
          <w:ilvl w:val="0"/>
          <w:numId w:val="12"/>
        </w:numPr>
        <w:kinsoku w:val="0"/>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本合同未尽事宜，由双方协商解决，形成书面补充协议，双方签字盖章后生效。</w:t>
      </w:r>
    </w:p>
    <w:p w14:paraId="74EFF83E">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第九条 争议解决</w:t>
      </w:r>
    </w:p>
    <w:p w14:paraId="50A5496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val="0"/>
          <w:bCs/>
          <w:sz w:val="32"/>
          <w:szCs w:val="32"/>
          <w:highlight w:val="none"/>
        </w:rPr>
      </w:pPr>
      <w:r>
        <w:rPr>
          <w:rFonts w:hint="eastAsia" w:ascii="仿宋" w:hAnsi="仿宋" w:eastAsia="仿宋" w:cs="仿宋"/>
          <w:b w:val="0"/>
          <w:bCs/>
          <w:sz w:val="32"/>
          <w:szCs w:val="32"/>
          <w:highlight w:val="none"/>
        </w:rPr>
        <w:t>甲乙双方同意对于因本合同的执行、理解产生的争议，甲乙双方一致同意首先通过友好协商解决。如争议未能于协商开始之日起的30日内解决，则任何一方均可将争议事项提交深圳市罗湖区人民法院提出诉讼。</w:t>
      </w:r>
    </w:p>
    <w:p w14:paraId="4929ACB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5948C17B">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甲方：                             乙方：</w:t>
      </w:r>
    </w:p>
    <w:p w14:paraId="44B8FF9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盖章：                             盖章：</w:t>
      </w:r>
    </w:p>
    <w:p w14:paraId="09FD792E">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负责人签字：                       负责人签字</w:t>
      </w:r>
    </w:p>
    <w:p w14:paraId="2F0226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日期:                              日期：</w:t>
      </w:r>
    </w:p>
    <w:p w14:paraId="734B6981">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5FED3B1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121EFF6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3A793515">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259CF592">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059CD50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1ED64323">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sz w:val="28"/>
          <w:szCs w:val="28"/>
          <w:highlight w:val="none"/>
        </w:rPr>
      </w:pPr>
    </w:p>
    <w:p w14:paraId="503966B7">
      <w:pPr>
        <w:spacing w:line="240" w:lineRule="exact"/>
        <w:rPr>
          <w:rFonts w:ascii="仿宋" w:hAnsi="仿宋" w:eastAsia="仿宋" w:cs="仿宋"/>
          <w:szCs w:val="21"/>
          <w:highlight w:val="none"/>
        </w:rPr>
      </w:pPr>
      <w:r>
        <w:rPr>
          <w:rFonts w:hint="eastAsia" w:ascii="仿宋" w:hAnsi="仿宋" w:eastAsia="仿宋" w:cs="仿宋"/>
          <w:szCs w:val="21"/>
          <w:highlight w:val="none"/>
          <w:lang w:val="en-US" w:eastAsia="zh-CN"/>
        </w:rPr>
        <w:t>采购</w:t>
      </w:r>
      <w:r>
        <w:rPr>
          <w:rFonts w:hint="eastAsia" w:ascii="仿宋" w:hAnsi="仿宋" w:eastAsia="仿宋" w:cs="仿宋"/>
          <w:szCs w:val="21"/>
          <w:highlight w:val="none"/>
        </w:rPr>
        <w:t>合同附件1：</w:t>
      </w:r>
    </w:p>
    <w:p w14:paraId="4DD61C76">
      <w:pPr>
        <w:widowControl w:val="0"/>
        <w:spacing w:line="400" w:lineRule="exact"/>
        <w:ind w:right="-512" w:rightChars="-244" w:firstLine="2880" w:firstLineChars="800"/>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供需双方廉洁互保协议</w:t>
      </w:r>
    </w:p>
    <w:p w14:paraId="211C951B">
      <w:pPr>
        <w:wordWrap w:val="0"/>
        <w:spacing w:line="360" w:lineRule="exact"/>
        <w:ind w:left="-420" w:leftChars="-200" w:right="-512" w:rightChars="-244" w:firstLine="420" w:firstLineChars="175"/>
        <w:rPr>
          <w:rFonts w:ascii="仿宋" w:hAnsi="仿宋" w:eastAsia="仿宋" w:cs="仿宋"/>
          <w:sz w:val="24"/>
          <w:highlight w:val="none"/>
          <w:u w:val="thick"/>
        </w:rPr>
      </w:pPr>
      <w:r>
        <w:rPr>
          <w:rFonts w:hint="eastAsia" w:ascii="仿宋" w:hAnsi="仿宋" w:eastAsia="仿宋" w:cs="仿宋"/>
          <w:sz w:val="24"/>
          <w:highlight w:val="none"/>
        </w:rPr>
        <w:t>甲方：</w:t>
      </w:r>
      <w:r>
        <w:rPr>
          <w:rFonts w:hint="eastAsia" w:ascii="仿宋" w:hAnsi="仿宋" w:eastAsia="仿宋" w:cs="仿宋"/>
          <w:sz w:val="24"/>
          <w:highlight w:val="none"/>
          <w:u w:val="single"/>
        </w:rPr>
        <w:t>深圳市鹏劳人力资源管理有限公司</w:t>
      </w:r>
    </w:p>
    <w:p w14:paraId="7175AE87">
      <w:pPr>
        <w:wordWrap w:val="0"/>
        <w:spacing w:line="360" w:lineRule="exact"/>
        <w:ind w:left="-420" w:leftChars="-200" w:right="-512" w:rightChars="-244" w:firstLine="420" w:firstLineChars="175"/>
        <w:rPr>
          <w:rFonts w:ascii="仿宋" w:hAnsi="仿宋" w:eastAsia="仿宋" w:cs="仿宋"/>
          <w:sz w:val="24"/>
          <w:highlight w:val="none"/>
          <w:u w:val="thick"/>
        </w:rPr>
      </w:pPr>
      <w:r>
        <w:rPr>
          <w:rFonts w:hint="eastAsia" w:ascii="仿宋" w:hAnsi="仿宋" w:eastAsia="仿宋" w:cs="仿宋"/>
          <w:sz w:val="24"/>
          <w:highlight w:val="none"/>
        </w:rPr>
        <w:t>乙方：</w:t>
      </w:r>
      <w:r>
        <w:rPr>
          <w:rFonts w:hint="eastAsia" w:ascii="仿宋" w:hAnsi="仿宋" w:eastAsia="仿宋" w:cs="仿宋"/>
          <w:sz w:val="24"/>
          <w:highlight w:val="none"/>
          <w:u w:val="single"/>
        </w:rPr>
        <w:t xml:space="preserve">                             </w:t>
      </w:r>
    </w:p>
    <w:p w14:paraId="7166C8B5">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为规范双方业务往来活动，建立诚实守信的商务合作关系，共同维护双方合法权益，防止违规违纪行为发生，经友好协商，双方就业务往来中的廉洁事宜达成此互保协议。</w:t>
      </w:r>
    </w:p>
    <w:p w14:paraId="515112AF">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黑体" w:hAnsi="黑体" w:eastAsia="黑体" w:cs="黑体"/>
          <w:sz w:val="24"/>
          <w:highlight w:val="none"/>
        </w:rPr>
      </w:pPr>
      <w:r>
        <w:rPr>
          <w:rFonts w:hint="eastAsia" w:ascii="黑体" w:hAnsi="黑体" w:eastAsia="黑体" w:cs="黑体"/>
          <w:sz w:val="24"/>
          <w:highlight w:val="none"/>
        </w:rPr>
        <w:t>第一条  甲乙双方共同的权利和义务：</w:t>
      </w:r>
    </w:p>
    <w:p w14:paraId="33BA236D">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 严格遵守国家有关法律法规，坚持诚实守信原则，恪守商业道德，规范商务人员廉洁从业行为；</w:t>
      </w:r>
    </w:p>
    <w:p w14:paraId="48844BDC">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 双方业务活动坚持公开、公正、诚信、透明的原则（商业秘密和合同文件另有规定的除外），不得损害国家和对方利益；</w:t>
      </w:r>
    </w:p>
    <w:p w14:paraId="44DFE950">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 发现对方工作人员在业务活动中有违反廉洁规定的行为，有及时要求对方纠正并向对方举报的权利和义务；涉嫌违法的，可以依法向有关部门举报；</w:t>
      </w:r>
    </w:p>
    <w:p w14:paraId="6A181096">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 对涉嫌不廉洁的商业行为进行调查时，双方有相互配合、提供证据、作证的义务；</w:t>
      </w:r>
    </w:p>
    <w:p w14:paraId="4C210F56">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 xml:space="preserve">5. 双方应依法保护举报人员，不得以任何方式对举报人员进行打击报复。 </w:t>
      </w:r>
    </w:p>
    <w:p w14:paraId="1C620CA1">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黑体" w:hAnsi="黑体" w:eastAsia="黑体" w:cs="黑体"/>
          <w:sz w:val="24"/>
          <w:highlight w:val="none"/>
        </w:rPr>
      </w:pPr>
      <w:r>
        <w:rPr>
          <w:rFonts w:hint="eastAsia" w:ascii="黑体" w:hAnsi="黑体" w:eastAsia="黑体" w:cs="黑体"/>
          <w:sz w:val="24"/>
          <w:highlight w:val="none"/>
        </w:rPr>
        <w:t>第二条  甲方的廉洁责任：</w:t>
      </w:r>
    </w:p>
    <w:p w14:paraId="5EF4CF98">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 甲方工作人员不得以任何形式索要或接受乙方的礼金、礼品和有价证券，不得在乙方报销任何应由个人支付的各种费用；</w:t>
      </w:r>
    </w:p>
    <w:p w14:paraId="4CB97A12">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 甲方工作人员不得私自参加乙方安排的宴请，不得私自接受乙方提供的通讯、交通工具和办公用品，不得向乙方泄露谈判中的商业秘密；</w:t>
      </w:r>
    </w:p>
    <w:p w14:paraId="4D4872D3">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 甲方工作人员不得要求或者接受乙方以住房装修、婚丧嫁娶、家属及其他亲属的工作安排、出国出境、旅游等为理由所提供的方便；</w:t>
      </w:r>
    </w:p>
    <w:p w14:paraId="1AE3AA82">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 甲方工作人员不得以任何理由向乙方推荐物资供应单位、工程承包或劳务分包单位，合同另有约定的除外；</w:t>
      </w:r>
    </w:p>
    <w:p w14:paraId="274E7322">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5. 其它违反廉洁规定的行为。</w:t>
      </w:r>
    </w:p>
    <w:p w14:paraId="1D79FDCD">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黑体" w:hAnsi="黑体" w:eastAsia="黑体" w:cs="黑体"/>
          <w:sz w:val="24"/>
          <w:highlight w:val="none"/>
        </w:rPr>
      </w:pPr>
      <w:r>
        <w:rPr>
          <w:rFonts w:hint="eastAsia" w:ascii="黑体" w:hAnsi="黑体" w:eastAsia="黑体" w:cs="黑体"/>
          <w:sz w:val="24"/>
          <w:highlight w:val="none"/>
        </w:rPr>
        <w:t>第三条  乙方的廉洁责任：</w:t>
      </w:r>
    </w:p>
    <w:p w14:paraId="15B9BC82">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 乙方及其工作人员不得为甲方工作人员提供回扣、礼金、有价证券、贵重物品和报销个人费用；</w:t>
      </w:r>
    </w:p>
    <w:p w14:paraId="51540756">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 乙方及其工作人员不得为甲方工作人员安排有可能影响公平、公正交易的宴请、健身、娱乐等活动；</w:t>
      </w:r>
    </w:p>
    <w:p w14:paraId="5452E020">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3. 乙方及其工作人员不得为甲方工作人员投资入股、个人借款或买卖股票、债券、购买或装修住房、婚丧嫁娶、配偶子女上学或工作安排以及出国出境、旅游等等提供方便；</w:t>
      </w:r>
    </w:p>
    <w:p w14:paraId="1B3B6C79">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4. 乙方及其工作人员不得为甲方工作人员在其相关企业挂名兼职、合伙经营、介绍承揽业务等提供方便；</w:t>
      </w:r>
    </w:p>
    <w:p w14:paraId="419942DB">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5. 其它违反廉洁规定的行为。</w:t>
      </w:r>
    </w:p>
    <w:p w14:paraId="069944C5">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黑体" w:hAnsi="黑体" w:eastAsia="黑体" w:cs="黑体"/>
          <w:sz w:val="24"/>
          <w:highlight w:val="none"/>
        </w:rPr>
        <w:t>第四条</w:t>
      </w:r>
      <w:r>
        <w:rPr>
          <w:rFonts w:hint="eastAsia" w:ascii="仿宋" w:hAnsi="仿宋" w:eastAsia="仿宋" w:cs="仿宋"/>
          <w:sz w:val="24"/>
          <w:highlight w:val="none"/>
        </w:rPr>
        <w:t xml:space="preserve">  甲方工作人员有违反本协议行为的，甲方应按照干部管理权限，依据有关规定给予相应党政纪处分、组织处理或经济处罚；涉嫌犯罪的，移交司法机关追究法律责任。</w:t>
      </w:r>
    </w:p>
    <w:p w14:paraId="2B08ED1D">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黑体" w:hAnsi="黑体" w:eastAsia="黑体" w:cs="黑体"/>
          <w:sz w:val="24"/>
          <w:highlight w:val="none"/>
        </w:rPr>
        <w:t xml:space="preserve">第五条  </w:t>
      </w:r>
      <w:r>
        <w:rPr>
          <w:rFonts w:hint="eastAsia" w:ascii="仿宋" w:hAnsi="仿宋" w:eastAsia="仿宋" w:cs="仿宋"/>
          <w:sz w:val="24"/>
          <w:highlight w:val="none"/>
        </w:rPr>
        <w:t>乙方及其工作人员有违反本协议行为的，甲方有权根据情节和所造成的影响采取以下相应措施：</w:t>
      </w:r>
    </w:p>
    <w:p w14:paraId="60301450">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1. 情节轻微的，要求乙方对相关工作人员进行处分处理，并限期整改；</w:t>
      </w:r>
    </w:p>
    <w:p w14:paraId="60FA6B44">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2. 致甲方工作人员受到组织处理、纪律处分或构成违法犯罪的，给甲方造成重大社会影响或重大经济损失的，甲方有权解除双方尚未履行完毕的业务合同，暂停支付合同未结算款项，甲方遭受的损失由乙方负责赔偿，乙方因甲方解除合同产生的损失由乙方自行承担，列入永久禁入深圳市鹏劳人力资源管理有限公司市场黑名单。</w:t>
      </w:r>
    </w:p>
    <w:p w14:paraId="34CC1E3E">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黑体" w:hAnsi="黑体" w:eastAsia="黑体" w:cs="黑体"/>
          <w:sz w:val="24"/>
          <w:highlight w:val="none"/>
        </w:rPr>
        <w:t xml:space="preserve">第六条  </w:t>
      </w:r>
      <w:r>
        <w:rPr>
          <w:rFonts w:hint="eastAsia" w:ascii="仿宋" w:hAnsi="仿宋" w:eastAsia="仿宋" w:cs="仿宋"/>
          <w:sz w:val="24"/>
          <w:highlight w:val="none"/>
        </w:rPr>
        <w:t>本协议作为双方签订《深圳市鹏劳人力资源管理有限公司20</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外派</w:t>
      </w:r>
      <w:r>
        <w:rPr>
          <w:rFonts w:hint="eastAsia" w:ascii="仿宋" w:hAnsi="仿宋" w:eastAsia="仿宋" w:cs="仿宋"/>
          <w:sz w:val="24"/>
          <w:highlight w:val="none"/>
        </w:rPr>
        <w:t>员工</w:t>
      </w:r>
      <w:r>
        <w:rPr>
          <w:rFonts w:hint="eastAsia" w:ascii="仿宋" w:hAnsi="仿宋" w:eastAsia="仿宋" w:cs="仿宋"/>
          <w:sz w:val="24"/>
          <w:highlight w:val="none"/>
          <w:lang w:val="en-US" w:eastAsia="zh-CN"/>
        </w:rPr>
        <w:t>健康体检服务</w:t>
      </w:r>
      <w:r>
        <w:rPr>
          <w:rFonts w:hint="eastAsia" w:ascii="仿宋" w:hAnsi="仿宋" w:eastAsia="仿宋" w:cs="仿宋"/>
          <w:sz w:val="24"/>
          <w:highlight w:val="none"/>
        </w:rPr>
        <w:t>采购项目》的组成部分，与《深圳市鹏劳人力资源管理有限公司20</w:t>
      </w:r>
      <w:r>
        <w:rPr>
          <w:rFonts w:hint="eastAsia" w:ascii="仿宋" w:hAnsi="仿宋" w:eastAsia="仿宋" w:cs="仿宋"/>
          <w:sz w:val="24"/>
          <w:highlight w:val="none"/>
          <w:lang w:val="en-US" w:eastAsia="zh-CN"/>
        </w:rPr>
        <w:t>24</w:t>
      </w:r>
      <w:r>
        <w:rPr>
          <w:rFonts w:hint="eastAsia" w:ascii="仿宋" w:hAnsi="仿宋" w:eastAsia="仿宋" w:cs="仿宋"/>
          <w:sz w:val="24"/>
          <w:highlight w:val="none"/>
        </w:rPr>
        <w:t>年</w:t>
      </w:r>
      <w:r>
        <w:rPr>
          <w:rFonts w:hint="eastAsia" w:ascii="仿宋" w:hAnsi="仿宋" w:eastAsia="仿宋" w:cs="仿宋"/>
          <w:sz w:val="24"/>
          <w:highlight w:val="none"/>
          <w:lang w:val="en-US" w:eastAsia="zh-CN"/>
        </w:rPr>
        <w:t>外派</w:t>
      </w:r>
      <w:r>
        <w:rPr>
          <w:rFonts w:hint="eastAsia" w:ascii="仿宋" w:hAnsi="仿宋" w:eastAsia="仿宋" w:cs="仿宋"/>
          <w:sz w:val="24"/>
          <w:highlight w:val="none"/>
        </w:rPr>
        <w:t>员工</w:t>
      </w:r>
      <w:r>
        <w:rPr>
          <w:rFonts w:hint="eastAsia" w:ascii="仿宋" w:hAnsi="仿宋" w:eastAsia="仿宋" w:cs="仿宋"/>
          <w:sz w:val="24"/>
          <w:highlight w:val="none"/>
          <w:lang w:val="en-US" w:eastAsia="zh-CN"/>
        </w:rPr>
        <w:t>健康体检服务</w:t>
      </w:r>
      <w:r>
        <w:rPr>
          <w:rFonts w:hint="eastAsia" w:ascii="仿宋" w:hAnsi="仿宋" w:eastAsia="仿宋" w:cs="仿宋"/>
          <w:sz w:val="24"/>
          <w:highlight w:val="none"/>
        </w:rPr>
        <w:t>采购项目》具有同等法律效力。</w:t>
      </w:r>
    </w:p>
    <w:p w14:paraId="3C4F1F11">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黑体" w:hAnsi="黑体" w:eastAsia="黑体" w:cs="黑体"/>
          <w:sz w:val="24"/>
          <w:highlight w:val="none"/>
        </w:rPr>
        <w:t xml:space="preserve">第七条  </w:t>
      </w:r>
      <w:r>
        <w:rPr>
          <w:rFonts w:hint="eastAsia" w:ascii="仿宋" w:hAnsi="仿宋" w:eastAsia="仿宋" w:cs="仿宋"/>
          <w:sz w:val="24"/>
          <w:highlight w:val="none"/>
        </w:rPr>
        <w:t>本协议一式三份，甲乙双方各执一份，鹏劳公司纪检委员存档一份，自双方签字盖章之日起生效，有效期与合同履约期一致。</w:t>
      </w:r>
    </w:p>
    <w:p w14:paraId="204420C3">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p>
    <w:p w14:paraId="02A436C0">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4"/>
          <w:highlight w:val="none"/>
        </w:rPr>
      </w:pPr>
      <w:r>
        <w:rPr>
          <w:rFonts w:hint="eastAsia" w:ascii="仿宋" w:hAnsi="仿宋" w:eastAsia="仿宋" w:cs="仿宋"/>
          <w:sz w:val="24"/>
          <w:highlight w:val="none"/>
        </w:rPr>
        <w:t>甲方：（盖章）                           乙方：（盖章）</w:t>
      </w:r>
    </w:p>
    <w:p w14:paraId="7DA7C9EE">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法定代表人或授权代表：（签字）           法定代表人或授权代表：（签字）      </w:t>
      </w:r>
    </w:p>
    <w:p w14:paraId="0C1A1555">
      <w:pPr>
        <w:keepNext w:val="0"/>
        <w:keepLines w:val="0"/>
        <w:pageBreakBefore w:val="0"/>
        <w:widowControl w:val="0"/>
        <w:kinsoku/>
        <w:wordWrap w:val="0"/>
        <w:overflowPunct/>
        <w:topLinePunct w:val="0"/>
        <w:autoSpaceDE/>
        <w:autoSpaceDN/>
        <w:bidi w:val="0"/>
        <w:adjustRightInd/>
        <w:snapToGrid/>
        <w:spacing w:line="240" w:lineRule="exact"/>
        <w:ind w:left="0" w:leftChars="0" w:right="0" w:rightChars="0" w:firstLine="480" w:firstLineChars="200"/>
        <w:textAlignment w:val="auto"/>
        <w:rPr>
          <w:rFonts w:ascii="仿宋" w:hAnsi="仿宋" w:eastAsia="仿宋" w:cs="仿宋"/>
          <w:sz w:val="28"/>
          <w:szCs w:val="28"/>
          <w:highlight w:val="none"/>
        </w:rPr>
      </w:pPr>
      <w:r>
        <w:rPr>
          <w:rFonts w:hint="eastAsia" w:ascii="仿宋" w:hAnsi="仿宋" w:eastAsia="仿宋" w:cs="仿宋"/>
          <w:sz w:val="24"/>
          <w:highlight w:val="none"/>
        </w:rPr>
        <w:t>日期：                                   日期：</w:t>
      </w:r>
    </w:p>
    <w:p w14:paraId="7684AC5A">
      <w:pPr>
        <w:spacing w:line="400" w:lineRule="exact"/>
        <w:ind w:left="-420" w:leftChars="-200" w:firstLine="492" w:firstLineChars="175"/>
        <w:rPr>
          <w:rFonts w:ascii="仿宋" w:hAnsi="仿宋" w:eastAsia="仿宋" w:cs="仿宋"/>
          <w:szCs w:val="21"/>
          <w:highlight w:val="none"/>
        </w:rPr>
      </w:pPr>
      <w:r>
        <w:rPr>
          <w:rFonts w:hint="eastAsia" w:ascii="宋体" w:hAnsi="宋体" w:cs="宋体"/>
          <w:b/>
          <w:sz w:val="28"/>
          <w:szCs w:val="28"/>
          <w:highlight w:val="none"/>
        </w:rPr>
        <w:br w:type="page"/>
      </w:r>
      <w:r>
        <w:rPr>
          <w:rFonts w:hint="eastAsia" w:ascii="仿宋" w:hAnsi="仿宋" w:eastAsia="仿宋" w:cs="仿宋"/>
          <w:szCs w:val="21"/>
          <w:highlight w:val="none"/>
        </w:rPr>
        <w:t>采购合同附件2：</w:t>
      </w:r>
    </w:p>
    <w:p w14:paraId="0C4B3B6E">
      <w:pPr>
        <w:spacing w:line="400" w:lineRule="exact"/>
        <w:ind w:firstLine="720"/>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深圳市鹏劳人力资源管理有限公司供应商环境及职业健康安全体系符合性承诺书</w:t>
      </w:r>
    </w:p>
    <w:p w14:paraId="07CBEB39">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甲方：深圳市鹏劳人力资源管理有限公司</w:t>
      </w:r>
    </w:p>
    <w:p w14:paraId="24127946">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w:t>
      </w:r>
    </w:p>
    <w:p w14:paraId="4E6D3EE0">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作为甲方本项目供应商，乙方就环境及职业健康安全体系符合性相关事宜作出以下承诺，并在合作过程中严格遵守：</w:t>
      </w:r>
    </w:p>
    <w:p w14:paraId="4CFD8B7B">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乙方承诺，乙方为甲方提供的服务或产品及其全过程符合国家各类法律法规要求、符合ISO14001,45001体系标准的要求，不因服务或产品的提供导致环境污染或关联人员职业健康安全危害；</w:t>
      </w:r>
    </w:p>
    <w:p w14:paraId="10DF6605">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甲方有权就乙方服务或产品及提供服务或产品的人员情况实施观察、监测，如发生可能对甲方人员职业健康安全或甲方经营场所环境安全、关联方环境安全造成不利影响或潜在隐患的，甲方有权对乙方提出改进要求，并由乙方实施改进直至隐患或影响完全消除；</w:t>
      </w:r>
    </w:p>
    <w:p w14:paraId="0B0BE64A">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经甲方书面要求，乙方在5个工作日内未实施有效改善， 经甲方二次排查，其隐患或负面影响仍未消除至合理标准，或整改效果不符合体系标准的，甲方有权即时解除或终止双方合作且不负任何法律和经济责任。</w:t>
      </w:r>
    </w:p>
    <w:p w14:paraId="317F33DF">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因违反ISO14001、45001体系标准，导致重大负面舆情或主管部门检查严重违规等事项，甲方有权即时解除或终止双方合作且不符任何法律和经济责任。如乙方违反体系标准的事项发生在为甲方提供服务或产品的过程中，给甲方造成经济或商誉损失的，乙方承诺赔偿。</w:t>
      </w:r>
    </w:p>
    <w:p w14:paraId="7742CC7D">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乙方在为甲方提供服务、产品的过程中，应主动、持续改善相关因素，以提升乙方环境安全及职业健康安全管理水平。</w:t>
      </w:r>
    </w:p>
    <w:p w14:paraId="1240B241">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在服务或产品提供过程中，乙方应自觉遵守道路交通规则、有关法律法规，以确保安全、对环境无害、最大程度合理利用和节约的方式妥善处理甲方委托事项或为甲方提供相关产品。</w:t>
      </w:r>
    </w:p>
    <w:p w14:paraId="2C63D54A">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对其派出为甲方提供服务或产品转运、递送的人员行为负有约束、规范的责任。如甲方或甲方工作处所物业发现乙方工作人员存在不安全、不环保行为时，甲方有权予以制止，同时，要求乙方更换人员直至其工作行为能够符合甲方要求。</w:t>
      </w:r>
    </w:p>
    <w:p w14:paraId="6CFE268D">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同意，如因疫情、其他自然灾害或重大客观条件变化导致双方合作需要中止以配合国家及地区政府主管部门要求及规定，或服务、供给状态无法满足相关环境、职业健康安全防护的相关政策规定时，乙方将根据甲方合理要求及时调整服务或供给条件以使其符合法律法规或政策要求，并不影响甲方及甲方员工的合同权益。</w:t>
      </w:r>
    </w:p>
    <w:p w14:paraId="1B2BB13C">
      <w:pPr>
        <w:pStyle w:val="20"/>
        <w:keepNext w:val="0"/>
        <w:keepLines w:val="0"/>
        <w:pageBreakBefore w:val="0"/>
        <w:widowControl w:val="0"/>
        <w:numPr>
          <w:ilvl w:val="0"/>
          <w:numId w:val="14"/>
        </w:numPr>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本承诺书作为乙方作为甲方供应商库入库</w:t>
      </w:r>
      <w:r>
        <w:rPr>
          <w:rFonts w:hint="eastAsia" w:ascii="仿宋" w:hAnsi="仿宋" w:eastAsia="仿宋"/>
          <w:sz w:val="24"/>
          <w:highlight w:val="none"/>
          <w:lang w:eastAsia="zh-CN"/>
        </w:rPr>
        <w:t>、项目采购合同履行</w:t>
      </w:r>
      <w:r>
        <w:rPr>
          <w:rFonts w:hint="eastAsia" w:ascii="仿宋" w:hAnsi="仿宋" w:eastAsia="仿宋"/>
          <w:sz w:val="24"/>
          <w:highlight w:val="none"/>
        </w:rPr>
        <w:t>的必要文件，自乙方（承诺方）盖章签字后生效，原件一式两份。如主合同约定与本协议冲突的，以本协议内容为准。</w:t>
      </w:r>
    </w:p>
    <w:p w14:paraId="57E8D7F4">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p>
    <w:p w14:paraId="5AEBEB38">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乙方（承诺方）：_______________________________</w:t>
      </w:r>
    </w:p>
    <w:p w14:paraId="5442D937">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有权签字人：</w:t>
      </w:r>
    </w:p>
    <w:p w14:paraId="4407C08E">
      <w:pPr>
        <w:keepNext w:val="0"/>
        <w:keepLines w:val="0"/>
        <w:pageBreakBefore w:val="0"/>
        <w:widowControl w:val="0"/>
        <w:kinsoku/>
        <w:wordWrap/>
        <w:overflowPunct/>
        <w:topLinePunct w:val="0"/>
        <w:autoSpaceDE/>
        <w:autoSpaceDN/>
        <w:bidi w:val="0"/>
        <w:adjustRightInd/>
        <w:snapToGrid/>
        <w:spacing w:line="280" w:lineRule="exact"/>
        <w:ind w:left="0" w:firstLine="480" w:firstLineChars="200"/>
        <w:textAlignment w:val="auto"/>
        <w:rPr>
          <w:rFonts w:ascii="仿宋" w:hAnsi="仿宋" w:eastAsia="仿宋"/>
          <w:sz w:val="24"/>
          <w:highlight w:val="none"/>
        </w:rPr>
      </w:pPr>
      <w:r>
        <w:rPr>
          <w:rFonts w:hint="eastAsia" w:ascii="仿宋" w:hAnsi="仿宋" w:eastAsia="仿宋"/>
          <w:sz w:val="24"/>
          <w:highlight w:val="none"/>
        </w:rPr>
        <w:t>日期：</w:t>
      </w:r>
    </w:p>
    <w:p w14:paraId="6E7FB6BF">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ascii="宋体" w:hAnsi="宋体" w:eastAsia="宋体" w:cs="宋体"/>
          <w:b/>
          <w:sz w:val="28"/>
          <w:szCs w:val="28"/>
          <w:highlight w:val="none"/>
        </w:rPr>
      </w:pPr>
      <w:r>
        <w:rPr>
          <w:rFonts w:hint="eastAsia" w:ascii="宋体" w:hAnsi="宋体" w:eastAsia="宋体" w:cs="宋体"/>
          <w:b/>
          <w:sz w:val="28"/>
          <w:szCs w:val="28"/>
          <w:highlight w:val="none"/>
        </w:rPr>
        <w:br w:type="page"/>
      </w:r>
    </w:p>
    <w:p w14:paraId="28AE4DFA">
      <w:pPr>
        <w:pStyle w:val="3"/>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sz w:val="32"/>
          <w:szCs w:val="32"/>
          <w:highlight w:val="none"/>
        </w:rPr>
      </w:pPr>
      <w:bookmarkStart w:id="61" w:name="_Toc12424"/>
      <w:r>
        <w:rPr>
          <w:rFonts w:hint="eastAsia" w:ascii="黑体" w:hAnsi="黑体" w:eastAsia="黑体" w:cs="黑体"/>
          <w:b w:val="0"/>
          <w:bCs/>
          <w:sz w:val="32"/>
          <w:szCs w:val="32"/>
          <w:highlight w:val="none"/>
        </w:rPr>
        <w:t>第四章 投标文件格式</w:t>
      </w:r>
      <w:bookmarkEnd w:id="60"/>
      <w:bookmarkEnd w:id="61"/>
    </w:p>
    <w:p w14:paraId="50AB9FDE">
      <w:pPr>
        <w:pStyle w:val="4"/>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黑体" w:hAnsi="黑体" w:eastAsia="黑体" w:cs="黑体"/>
          <w:b w:val="0"/>
          <w:bCs/>
          <w:sz w:val="24"/>
          <w:szCs w:val="28"/>
          <w:highlight w:val="none"/>
        </w:rPr>
      </w:pPr>
      <w:bookmarkStart w:id="62" w:name="_Toc27533"/>
      <w:bookmarkStart w:id="63" w:name="_Toc20204"/>
      <w:r>
        <w:rPr>
          <w:rFonts w:hint="eastAsia" w:ascii="黑体" w:hAnsi="黑体" w:eastAsia="黑体" w:cs="黑体"/>
          <w:b w:val="0"/>
          <w:bCs/>
          <w:sz w:val="24"/>
          <w:szCs w:val="28"/>
          <w:highlight w:val="none"/>
        </w:rPr>
        <w:t>格式1：《唱标信封》</w:t>
      </w:r>
      <w:bookmarkEnd w:id="62"/>
      <w:bookmarkEnd w:id="63"/>
    </w:p>
    <w:p w14:paraId="1E05434F">
      <w:pPr>
        <w:jc w:val="center"/>
        <w:rPr>
          <w:rFonts w:ascii="黑体" w:hAnsi="黑体" w:eastAsia="黑体" w:cs="黑体"/>
          <w:b/>
          <w:sz w:val="44"/>
          <w:szCs w:val="44"/>
          <w:highlight w:val="none"/>
        </w:rPr>
      </w:pPr>
    </w:p>
    <w:p w14:paraId="6B1193A3">
      <w:pPr>
        <w:jc w:val="center"/>
        <w:rPr>
          <w:rFonts w:ascii="黑体" w:hAnsi="黑体" w:eastAsia="黑体" w:cs="黑体"/>
          <w:b/>
          <w:sz w:val="44"/>
          <w:szCs w:val="44"/>
          <w:highlight w:val="none"/>
        </w:rPr>
      </w:pPr>
    </w:p>
    <w:p w14:paraId="4E40632D">
      <w:pPr>
        <w:jc w:val="center"/>
        <w:rPr>
          <w:rFonts w:ascii="黑体" w:hAnsi="黑体" w:eastAsia="黑体" w:cs="黑体"/>
          <w:b/>
          <w:sz w:val="44"/>
          <w:szCs w:val="44"/>
          <w:highlight w:val="none"/>
        </w:rPr>
      </w:pPr>
    </w:p>
    <w:p w14:paraId="39C18BF8">
      <w:pPr>
        <w:jc w:val="center"/>
        <w:rPr>
          <w:rFonts w:hint="eastAsia" w:ascii="方正小标宋简体" w:hAnsi="方正小标宋简体" w:eastAsia="方正小标宋简体" w:cs="方正小标宋简体"/>
          <w:b w:val="0"/>
          <w:bCs/>
          <w:sz w:val="56"/>
          <w:szCs w:val="56"/>
          <w:highlight w:val="none"/>
        </w:rPr>
      </w:pPr>
      <w:r>
        <w:rPr>
          <w:rFonts w:hint="eastAsia" w:ascii="方正小标宋简体" w:hAnsi="方正小标宋简体" w:eastAsia="方正小标宋简体" w:cs="方正小标宋简体"/>
          <w:b w:val="0"/>
          <w:bCs/>
          <w:sz w:val="56"/>
          <w:szCs w:val="56"/>
          <w:highlight w:val="none"/>
        </w:rPr>
        <w:t>唱 标 信 封</w:t>
      </w:r>
    </w:p>
    <w:p w14:paraId="4D9EAB44">
      <w:pPr>
        <w:jc w:val="center"/>
        <w:rPr>
          <w:rFonts w:hint="eastAsia" w:ascii="黑体" w:hAnsi="黑体" w:eastAsia="黑体" w:cs="黑体"/>
          <w:b/>
          <w:sz w:val="52"/>
          <w:szCs w:val="52"/>
          <w:highlight w:val="none"/>
        </w:rPr>
      </w:pPr>
    </w:p>
    <w:p w14:paraId="200215FC">
      <w:pPr>
        <w:jc w:val="center"/>
        <w:rPr>
          <w:rFonts w:hint="eastAsia" w:ascii="黑体" w:hAnsi="黑体" w:eastAsia="黑体" w:cs="黑体"/>
          <w:b/>
          <w:sz w:val="52"/>
          <w:szCs w:val="52"/>
          <w:highlight w:val="none"/>
        </w:rPr>
      </w:pPr>
    </w:p>
    <w:p w14:paraId="478B13FD">
      <w:pPr>
        <w:jc w:val="center"/>
        <w:rPr>
          <w:rFonts w:hint="eastAsia" w:ascii="黑体" w:hAnsi="黑体" w:eastAsia="黑体" w:cs="黑体"/>
          <w:b/>
          <w:sz w:val="52"/>
          <w:szCs w:val="52"/>
          <w:highlight w:val="none"/>
        </w:rPr>
      </w:pPr>
    </w:p>
    <w:p w14:paraId="0D52C870">
      <w:pPr>
        <w:spacing w:beforeLines="30"/>
        <w:rPr>
          <w:rFonts w:ascii="宋体" w:hAnsi="宋体"/>
          <w:b/>
          <w:sz w:val="44"/>
          <w:szCs w:val="44"/>
          <w:highlight w:val="none"/>
        </w:rPr>
      </w:pPr>
    </w:p>
    <w:p w14:paraId="0A0F43F4">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ascii="宋体" w:hAnsi="宋体"/>
          <w:b/>
          <w:sz w:val="28"/>
          <w:szCs w:val="28"/>
          <w:highlight w:val="none"/>
        </w:rPr>
      </w:pPr>
      <w:r>
        <w:rPr>
          <w:rFonts w:hint="eastAsia" w:ascii="宋体" w:hAnsi="宋体"/>
          <w:b/>
          <w:sz w:val="28"/>
          <w:szCs w:val="28"/>
          <w:highlight w:val="none"/>
        </w:rPr>
        <w:t>项目名称：</w:t>
      </w:r>
    </w:p>
    <w:p w14:paraId="0612F079">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hint="default" w:ascii="宋体" w:hAnsi="宋体"/>
          <w:b/>
          <w:sz w:val="28"/>
          <w:szCs w:val="28"/>
          <w:highlight w:val="none"/>
          <w:lang w:val="en-US" w:eastAsia="zh-CN"/>
        </w:rPr>
      </w:pPr>
      <w:r>
        <w:rPr>
          <w:rFonts w:hint="eastAsia" w:ascii="宋体" w:hAnsi="宋体"/>
          <w:b/>
          <w:sz w:val="28"/>
          <w:szCs w:val="28"/>
          <w:highlight w:val="none"/>
        </w:rPr>
        <w:t>招标编号：PLHR-ZB-FW-</w:t>
      </w:r>
      <w:r>
        <w:rPr>
          <w:rFonts w:hint="eastAsia" w:ascii="宋体" w:hAnsi="宋体"/>
          <w:b/>
          <w:sz w:val="28"/>
          <w:szCs w:val="28"/>
          <w:highlight w:val="none"/>
          <w:lang w:eastAsia="zh-CN"/>
        </w:rPr>
        <w:t>20240601</w:t>
      </w:r>
    </w:p>
    <w:p w14:paraId="46C63631">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ascii="宋体" w:hAnsi="宋体"/>
          <w:b/>
          <w:sz w:val="28"/>
          <w:szCs w:val="28"/>
          <w:highlight w:val="none"/>
          <w:u w:val="single"/>
        </w:rPr>
      </w:pPr>
      <w:r>
        <w:rPr>
          <w:rFonts w:hint="eastAsia" w:ascii="宋体" w:hAnsi="宋体"/>
          <w:b/>
          <w:sz w:val="28"/>
          <w:szCs w:val="28"/>
          <w:highlight w:val="none"/>
        </w:rPr>
        <w:t>投标人（盖章）：___________________________</w:t>
      </w:r>
    </w:p>
    <w:p w14:paraId="655DD33D">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ascii="宋体" w:hAnsi="宋体"/>
          <w:b/>
          <w:sz w:val="28"/>
          <w:szCs w:val="28"/>
          <w:highlight w:val="none"/>
        </w:rPr>
      </w:pPr>
      <w:r>
        <w:rPr>
          <w:rFonts w:hint="eastAsia" w:ascii="宋体" w:hAnsi="宋体"/>
          <w:b/>
          <w:sz w:val="28"/>
          <w:szCs w:val="28"/>
          <w:highlight w:val="none"/>
        </w:rPr>
        <w:t>法定代表人或授权委托人签字：__________________</w:t>
      </w:r>
    </w:p>
    <w:p w14:paraId="242A537D">
      <w:pPr>
        <w:keepNext w:val="0"/>
        <w:keepLines w:val="0"/>
        <w:pageBreakBefore w:val="0"/>
        <w:widowControl w:val="0"/>
        <w:kinsoku/>
        <w:wordWrap/>
        <w:overflowPunct/>
        <w:topLinePunct w:val="0"/>
        <w:autoSpaceDE/>
        <w:autoSpaceDN/>
        <w:bidi w:val="0"/>
        <w:adjustRightInd/>
        <w:snapToGrid/>
        <w:spacing w:beforeLines="30" w:line="560" w:lineRule="exact"/>
        <w:textAlignment w:val="auto"/>
        <w:rPr>
          <w:rFonts w:ascii="宋体" w:hAnsi="宋体"/>
          <w:b/>
          <w:sz w:val="28"/>
          <w:szCs w:val="28"/>
          <w:highlight w:val="none"/>
        </w:rPr>
      </w:pPr>
      <w:r>
        <w:rPr>
          <w:rFonts w:hint="eastAsia" w:ascii="宋体" w:hAnsi="宋体"/>
          <w:b/>
          <w:sz w:val="28"/>
          <w:szCs w:val="28"/>
          <w:highlight w:val="none"/>
        </w:rPr>
        <w:t>投标日期：____________年_____月______日</w:t>
      </w:r>
    </w:p>
    <w:p w14:paraId="5F1C2A52">
      <w:pPr>
        <w:spacing w:beforeLines="30"/>
        <w:rPr>
          <w:rFonts w:ascii="宋体" w:hAnsi="宋体"/>
          <w:b/>
          <w:sz w:val="28"/>
          <w:szCs w:val="28"/>
          <w:highlight w:val="none"/>
        </w:rPr>
      </w:pPr>
    </w:p>
    <w:p w14:paraId="600B647D">
      <w:pPr>
        <w:spacing w:beforeLines="30"/>
        <w:rPr>
          <w:rFonts w:ascii="宋体" w:hAnsi="宋体"/>
          <w:b w:val="0"/>
          <w:bCs/>
          <w:sz w:val="28"/>
          <w:szCs w:val="28"/>
          <w:highlight w:val="none"/>
        </w:rPr>
      </w:pPr>
    </w:p>
    <w:p w14:paraId="19E98496">
      <w:pPr>
        <w:jc w:val="center"/>
        <w:rPr>
          <w:rFonts w:ascii="黑体" w:hAnsi="黑体" w:eastAsia="黑体" w:cs="黑体"/>
          <w:b w:val="0"/>
          <w:bCs/>
          <w:sz w:val="32"/>
          <w:szCs w:val="32"/>
          <w:highlight w:val="none"/>
        </w:rPr>
      </w:pPr>
      <w:r>
        <w:rPr>
          <w:rFonts w:hint="eastAsia" w:ascii="黑体" w:hAnsi="黑体" w:eastAsia="黑体" w:cs="黑体"/>
          <w:b w:val="0"/>
          <w:bCs/>
          <w:sz w:val="32"/>
          <w:szCs w:val="32"/>
          <w:highlight w:val="none"/>
        </w:rPr>
        <w:t>（</w:t>
      </w:r>
      <w:r>
        <w:rPr>
          <w:rFonts w:hint="eastAsia" w:ascii="黑体" w:hAnsi="黑体" w:eastAsia="黑体" w:cs="黑体"/>
          <w:b w:val="0"/>
          <w:bCs/>
          <w:sz w:val="32"/>
          <w:szCs w:val="32"/>
          <w:highlight w:val="none"/>
          <w:lang w:eastAsia="zh-CN"/>
        </w:rPr>
        <w:t>202</w:t>
      </w:r>
      <w:r>
        <w:rPr>
          <w:rFonts w:hint="eastAsia" w:ascii="黑体" w:hAnsi="黑体" w:eastAsia="黑体" w:cs="黑体"/>
          <w:b w:val="0"/>
          <w:bCs/>
          <w:sz w:val="32"/>
          <w:szCs w:val="32"/>
          <w:highlight w:val="none"/>
          <w:lang w:val="en-US" w:eastAsia="zh-CN"/>
        </w:rPr>
        <w:t>4</w:t>
      </w:r>
      <w:r>
        <w:rPr>
          <w:rFonts w:hint="eastAsia" w:ascii="黑体" w:hAnsi="黑体" w:eastAsia="黑体" w:cs="黑体"/>
          <w:b w:val="0"/>
          <w:bCs/>
          <w:sz w:val="32"/>
          <w:szCs w:val="32"/>
          <w:highlight w:val="none"/>
        </w:rPr>
        <w:t>年</w:t>
      </w:r>
      <w:r>
        <w:rPr>
          <w:rFonts w:hint="eastAsia" w:ascii="黑体" w:hAnsi="黑体" w:eastAsia="黑体" w:cs="黑体"/>
          <w:b w:val="0"/>
          <w:bCs/>
          <w:sz w:val="32"/>
          <w:szCs w:val="32"/>
          <w:highlight w:val="none"/>
          <w:lang w:val="en-US" w:eastAsia="zh-CN"/>
        </w:rPr>
        <w:t>10</w:t>
      </w:r>
      <w:r>
        <w:rPr>
          <w:rFonts w:hint="eastAsia" w:ascii="黑体" w:hAnsi="黑体" w:eastAsia="黑体" w:cs="黑体"/>
          <w:b w:val="0"/>
          <w:bCs/>
          <w:sz w:val="32"/>
          <w:szCs w:val="32"/>
          <w:highlight w:val="none"/>
        </w:rPr>
        <w:t>月</w:t>
      </w:r>
      <w:r>
        <w:rPr>
          <w:rFonts w:hint="eastAsia" w:ascii="黑体" w:hAnsi="黑体" w:eastAsia="黑体" w:cs="黑体"/>
          <w:b w:val="0"/>
          <w:bCs/>
          <w:sz w:val="32"/>
          <w:szCs w:val="32"/>
          <w:highlight w:val="none"/>
          <w:lang w:val="en-US" w:eastAsia="zh-CN"/>
        </w:rPr>
        <w:t>9</w:t>
      </w:r>
      <w:r>
        <w:rPr>
          <w:rFonts w:hint="eastAsia" w:ascii="黑体" w:hAnsi="黑体" w:eastAsia="黑体" w:cs="黑体"/>
          <w:b w:val="0"/>
          <w:bCs/>
          <w:sz w:val="32"/>
          <w:szCs w:val="32"/>
          <w:highlight w:val="none"/>
        </w:rPr>
        <w:t>日</w:t>
      </w:r>
      <w:r>
        <w:rPr>
          <w:rFonts w:hint="eastAsia" w:ascii="黑体" w:hAnsi="黑体" w:eastAsia="黑体" w:cs="黑体"/>
          <w:b w:val="0"/>
          <w:bCs/>
          <w:sz w:val="32"/>
          <w:szCs w:val="32"/>
          <w:highlight w:val="none"/>
          <w:lang w:val="en-US" w:eastAsia="zh-CN"/>
        </w:rPr>
        <w:t>14</w:t>
      </w:r>
      <w:r>
        <w:rPr>
          <w:rFonts w:hint="eastAsia" w:ascii="黑体" w:hAnsi="黑体" w:eastAsia="黑体" w:cs="黑体"/>
          <w:b w:val="0"/>
          <w:bCs/>
          <w:sz w:val="32"/>
          <w:szCs w:val="32"/>
          <w:highlight w:val="none"/>
        </w:rPr>
        <w:t>时</w:t>
      </w:r>
      <w:r>
        <w:rPr>
          <w:rFonts w:hint="eastAsia" w:ascii="黑体" w:hAnsi="黑体" w:eastAsia="黑体" w:cs="黑体"/>
          <w:b w:val="0"/>
          <w:bCs/>
          <w:sz w:val="32"/>
          <w:szCs w:val="32"/>
          <w:highlight w:val="none"/>
          <w:lang w:val="en-US" w:eastAsia="zh-CN"/>
        </w:rPr>
        <w:t>30</w:t>
      </w:r>
      <w:r>
        <w:rPr>
          <w:rFonts w:hint="eastAsia" w:ascii="黑体" w:hAnsi="黑体" w:eastAsia="黑体" w:cs="黑体"/>
          <w:b w:val="0"/>
          <w:bCs/>
          <w:sz w:val="32"/>
          <w:szCs w:val="32"/>
          <w:highlight w:val="none"/>
        </w:rPr>
        <w:t>分前不得开启）</w:t>
      </w:r>
    </w:p>
    <w:p w14:paraId="517503A4">
      <w:pPr>
        <w:rPr>
          <w:rFonts w:ascii="宋体" w:hAnsi="宋体"/>
          <w:b/>
          <w:highlight w:val="none"/>
        </w:rPr>
      </w:pPr>
    </w:p>
    <w:p w14:paraId="4089DD5B">
      <w:pPr>
        <w:rPr>
          <w:rFonts w:ascii="宋体" w:hAnsi="宋体"/>
          <w:b/>
          <w:highlight w:val="none"/>
        </w:rPr>
      </w:pPr>
      <w:bookmarkStart w:id="79" w:name="_GoBack"/>
      <w:bookmarkEnd w:id="79"/>
    </w:p>
    <w:p w14:paraId="2C301FF5">
      <w:pPr>
        <w:rPr>
          <w:rFonts w:ascii="宋体" w:hAnsi="宋体"/>
          <w:b/>
          <w:highlight w:val="none"/>
        </w:rPr>
      </w:pPr>
    </w:p>
    <w:p w14:paraId="1B81D2C4">
      <w:pPr>
        <w:rPr>
          <w:rFonts w:ascii="宋体" w:hAnsi="宋体"/>
          <w:b/>
          <w:highlight w:val="none"/>
        </w:rPr>
      </w:pPr>
    </w:p>
    <w:p w14:paraId="7E9DBC19">
      <w:pPr>
        <w:rPr>
          <w:rFonts w:ascii="宋体" w:hAnsi="宋体"/>
          <w:b/>
          <w:highlight w:val="none"/>
        </w:rPr>
      </w:pPr>
    </w:p>
    <w:p w14:paraId="4A08102C">
      <w:pPr>
        <w:pStyle w:val="4"/>
        <w:ind w:firstLine="482"/>
        <w:jc w:val="left"/>
        <w:rPr>
          <w:rFonts w:hint="eastAsia" w:ascii="黑体" w:hAnsi="黑体" w:eastAsia="黑体" w:cs="黑体"/>
          <w:b w:val="0"/>
          <w:bCs/>
          <w:sz w:val="24"/>
          <w:szCs w:val="28"/>
          <w:highlight w:val="none"/>
        </w:rPr>
      </w:pPr>
      <w:bookmarkStart w:id="64" w:name="_Toc23060"/>
      <w:bookmarkStart w:id="65" w:name="_Toc10266"/>
      <w:r>
        <w:rPr>
          <w:rFonts w:hint="eastAsia" w:ascii="黑体" w:hAnsi="黑体" w:eastAsia="黑体" w:cs="黑体"/>
          <w:b w:val="0"/>
          <w:bCs/>
          <w:sz w:val="24"/>
          <w:szCs w:val="28"/>
          <w:highlight w:val="none"/>
        </w:rPr>
        <w:t>格式2：开标一览表</w:t>
      </w:r>
      <w:bookmarkEnd w:id="64"/>
      <w:bookmarkEnd w:id="65"/>
    </w:p>
    <w:p w14:paraId="197F884A">
      <w:pPr>
        <w:jc w:val="center"/>
        <w:rPr>
          <w:rFonts w:hint="eastAsia" w:ascii="方正小标宋简体" w:hAnsi="方正小标宋简体" w:eastAsia="方正小标宋简体" w:cs="方正小标宋简体"/>
          <w:b/>
          <w:sz w:val="44"/>
          <w:szCs w:val="44"/>
          <w:highlight w:val="none"/>
        </w:rPr>
      </w:pPr>
      <w:r>
        <w:rPr>
          <w:rFonts w:hint="eastAsia" w:ascii="方正小标宋简体" w:hAnsi="方正小标宋简体" w:eastAsia="方正小标宋简体" w:cs="方正小标宋简体"/>
          <w:b/>
          <w:sz w:val="44"/>
          <w:szCs w:val="44"/>
          <w:highlight w:val="none"/>
        </w:rPr>
        <w:t>开标一览表</w:t>
      </w:r>
    </w:p>
    <w:p w14:paraId="652568E2">
      <w:pPr>
        <w:jc w:val="center"/>
        <w:rPr>
          <w:rFonts w:ascii="宋体" w:hAnsi="宋体" w:eastAsia="宋体" w:cs="宋体"/>
          <w:b/>
          <w:sz w:val="28"/>
          <w:szCs w:val="28"/>
          <w:highlight w:val="none"/>
        </w:rPr>
      </w:pPr>
    </w:p>
    <w:p w14:paraId="12F6CA37">
      <w:pPr>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致：深圳市鹏劳人力资源管理有限公司</w:t>
      </w:r>
    </w:p>
    <w:p w14:paraId="6754458D">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外派员工体检服务采购项目（招标编号：PLHR-ZB-FW-</w:t>
      </w:r>
      <w:r>
        <w:rPr>
          <w:rFonts w:hint="eastAsia" w:ascii="仿宋" w:hAnsi="仿宋" w:eastAsia="仿宋" w:cs="仿宋"/>
          <w:b w:val="0"/>
          <w:bCs/>
          <w:sz w:val="24"/>
          <w:szCs w:val="24"/>
          <w:highlight w:val="none"/>
          <w:lang w:eastAsia="zh-CN"/>
        </w:rPr>
        <w:t>20240601</w:t>
      </w:r>
      <w:r>
        <w:rPr>
          <w:rFonts w:hint="eastAsia" w:ascii="仿宋" w:hAnsi="仿宋" w:eastAsia="仿宋" w:cs="仿宋"/>
          <w:b w:val="0"/>
          <w:bCs/>
          <w:sz w:val="24"/>
          <w:szCs w:val="24"/>
          <w:highlight w:val="none"/>
        </w:rPr>
        <w:t>）项目投标报价如下：</w:t>
      </w:r>
    </w:p>
    <w:tbl>
      <w:tblPr>
        <w:tblStyle w:val="16"/>
        <w:tblW w:w="904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55"/>
        <w:gridCol w:w="2251"/>
        <w:gridCol w:w="1596"/>
        <w:gridCol w:w="2344"/>
      </w:tblGrid>
      <w:tr w14:paraId="193CA4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855" w:type="dxa"/>
            <w:tcBorders>
              <w:tl2br w:val="nil"/>
              <w:tr2bl w:val="nil"/>
            </w:tcBorders>
            <w:vAlign w:val="center"/>
          </w:tcPr>
          <w:p w14:paraId="4687C59B">
            <w:pPr>
              <w:jc w:val="center"/>
              <w:rPr>
                <w:rFonts w:ascii="宋体" w:hAnsi="宋体"/>
                <w:b/>
                <w:highlight w:val="none"/>
              </w:rPr>
            </w:pPr>
            <w:r>
              <w:rPr>
                <w:rFonts w:hint="eastAsia" w:ascii="宋体" w:hAnsi="宋体"/>
                <w:b/>
                <w:highlight w:val="none"/>
              </w:rPr>
              <w:t>采购标准</w:t>
            </w:r>
          </w:p>
        </w:tc>
        <w:tc>
          <w:tcPr>
            <w:tcW w:w="2251" w:type="dxa"/>
            <w:tcBorders>
              <w:tl2br w:val="nil"/>
              <w:tr2bl w:val="nil"/>
            </w:tcBorders>
            <w:vAlign w:val="center"/>
          </w:tcPr>
          <w:p w14:paraId="75E758CF">
            <w:pPr>
              <w:jc w:val="center"/>
              <w:rPr>
                <w:rFonts w:hint="default" w:ascii="宋体" w:hAnsi="宋体" w:eastAsiaTheme="minorEastAsia"/>
                <w:b/>
                <w:highlight w:val="none"/>
                <w:lang w:val="en-US" w:eastAsia="zh-CN"/>
              </w:rPr>
            </w:pPr>
            <w:r>
              <w:rPr>
                <w:rFonts w:hint="eastAsia" w:ascii="宋体" w:hAnsi="宋体"/>
                <w:b/>
                <w:szCs w:val="21"/>
                <w:highlight w:val="none"/>
              </w:rPr>
              <w:t>每单人体检套餐价格</w:t>
            </w:r>
            <w:r>
              <w:rPr>
                <w:rFonts w:hint="eastAsia" w:ascii="宋体" w:hAnsi="宋体"/>
                <w:b w:val="0"/>
                <w:bCs/>
                <w:szCs w:val="21"/>
                <w:highlight w:val="none"/>
              </w:rPr>
              <w:t>（含</w:t>
            </w:r>
            <w:r>
              <w:rPr>
                <w:rFonts w:hint="eastAsia" w:ascii="宋体" w:hAnsi="宋体"/>
                <w:b w:val="0"/>
                <w:bCs/>
                <w:szCs w:val="21"/>
                <w:highlight w:val="none"/>
                <w:lang w:val="en-US" w:eastAsia="zh-CN"/>
              </w:rPr>
              <w:t>增值</w:t>
            </w:r>
            <w:r>
              <w:rPr>
                <w:rFonts w:hint="eastAsia" w:ascii="宋体" w:hAnsi="宋体"/>
                <w:b w:val="0"/>
                <w:bCs/>
                <w:szCs w:val="21"/>
                <w:highlight w:val="none"/>
              </w:rPr>
              <w:t>税）</w:t>
            </w:r>
          </w:p>
        </w:tc>
        <w:tc>
          <w:tcPr>
            <w:tcW w:w="1596" w:type="dxa"/>
            <w:tcBorders>
              <w:tl2br w:val="nil"/>
              <w:tr2bl w:val="nil"/>
            </w:tcBorders>
            <w:vAlign w:val="center"/>
          </w:tcPr>
          <w:p w14:paraId="3AC719AB">
            <w:pPr>
              <w:jc w:val="center"/>
              <w:rPr>
                <w:rFonts w:ascii="宋体" w:hAnsi="宋体"/>
                <w:b/>
                <w:highlight w:val="none"/>
              </w:rPr>
            </w:pPr>
            <w:r>
              <w:rPr>
                <w:rFonts w:hint="eastAsia" w:ascii="宋体" w:hAnsi="宋体"/>
                <w:b/>
                <w:highlight w:val="none"/>
              </w:rPr>
              <w:t>预计体检人数</w:t>
            </w:r>
          </w:p>
        </w:tc>
        <w:tc>
          <w:tcPr>
            <w:tcW w:w="2344" w:type="dxa"/>
            <w:tcBorders>
              <w:tl2br w:val="nil"/>
              <w:tr2bl w:val="nil"/>
            </w:tcBorders>
            <w:vAlign w:val="center"/>
          </w:tcPr>
          <w:p w14:paraId="1545ED28">
            <w:pPr>
              <w:jc w:val="center"/>
              <w:rPr>
                <w:rFonts w:hint="default" w:ascii="宋体" w:hAnsi="宋体"/>
                <w:b/>
                <w:highlight w:val="none"/>
                <w:lang w:val="en-US" w:eastAsia="zh-CN"/>
              </w:rPr>
            </w:pPr>
            <w:r>
              <w:rPr>
                <w:rFonts w:hint="eastAsia" w:ascii="宋体" w:hAnsi="宋体"/>
                <w:b/>
                <w:highlight w:val="none"/>
                <w:lang w:val="en-US" w:eastAsia="zh-CN"/>
              </w:rPr>
              <w:t>价格小计</w:t>
            </w:r>
          </w:p>
          <w:p w14:paraId="7EA81BB6">
            <w:pPr>
              <w:jc w:val="center"/>
              <w:rPr>
                <w:rFonts w:hint="default" w:ascii="宋体" w:hAnsi="宋体" w:eastAsiaTheme="minorEastAsia"/>
                <w:b/>
                <w:highlight w:val="none"/>
                <w:lang w:val="en-US" w:eastAsia="zh-CN"/>
              </w:rPr>
            </w:pPr>
            <w:r>
              <w:rPr>
                <w:rFonts w:hint="eastAsia" w:ascii="宋体" w:hAnsi="宋体"/>
                <w:b w:val="0"/>
                <w:bCs/>
                <w:highlight w:val="none"/>
                <w:lang w:eastAsia="zh-CN"/>
              </w:rPr>
              <w:t>（</w:t>
            </w:r>
            <w:r>
              <w:rPr>
                <w:rFonts w:hint="eastAsia" w:ascii="宋体" w:hAnsi="宋体"/>
                <w:b w:val="0"/>
                <w:bCs/>
                <w:highlight w:val="none"/>
                <w:lang w:val="en-US" w:eastAsia="zh-CN"/>
              </w:rPr>
              <w:t>含增值税）</w:t>
            </w:r>
          </w:p>
        </w:tc>
      </w:tr>
      <w:tr w14:paraId="0C6622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2855" w:type="dxa"/>
            <w:tcBorders>
              <w:tl2br w:val="nil"/>
              <w:tr2bl w:val="nil"/>
            </w:tcBorders>
            <w:vAlign w:val="center"/>
          </w:tcPr>
          <w:p w14:paraId="4B735637">
            <w:pPr>
              <w:widowControl/>
              <w:spacing w:line="320" w:lineRule="exact"/>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体检套餐</w:t>
            </w:r>
          </w:p>
          <w:p w14:paraId="11072077">
            <w:pPr>
              <w:widowControl/>
              <w:spacing w:line="320" w:lineRule="exact"/>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（限价390元/人）</w:t>
            </w:r>
          </w:p>
        </w:tc>
        <w:tc>
          <w:tcPr>
            <w:tcW w:w="2251" w:type="dxa"/>
            <w:tcBorders>
              <w:tl2br w:val="nil"/>
              <w:tr2bl w:val="nil"/>
            </w:tcBorders>
            <w:vAlign w:val="center"/>
          </w:tcPr>
          <w:p w14:paraId="7BAED527">
            <w:pPr>
              <w:widowControl/>
              <w:jc w:val="center"/>
              <w:rPr>
                <w:rFonts w:ascii="宋体" w:hAnsi="宋体" w:eastAsia="宋体" w:cs="宋体"/>
                <w:bCs/>
                <w:kern w:val="0"/>
                <w:szCs w:val="21"/>
                <w:highlight w:val="none"/>
              </w:rPr>
            </w:pPr>
          </w:p>
        </w:tc>
        <w:tc>
          <w:tcPr>
            <w:tcW w:w="1596" w:type="dxa"/>
            <w:tcBorders>
              <w:tl2br w:val="nil"/>
              <w:tr2bl w:val="nil"/>
            </w:tcBorders>
            <w:vAlign w:val="center"/>
          </w:tcPr>
          <w:p w14:paraId="74D6B476">
            <w:pPr>
              <w:widowControl/>
              <w:jc w:val="center"/>
              <w:textAlignment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kern w:val="0"/>
                <w:szCs w:val="21"/>
                <w:highlight w:val="none"/>
                <w:lang w:val="en-US" w:eastAsia="zh-CN"/>
              </w:rPr>
              <w:t>474</w:t>
            </w:r>
          </w:p>
        </w:tc>
        <w:tc>
          <w:tcPr>
            <w:tcW w:w="2344" w:type="dxa"/>
            <w:tcBorders>
              <w:tl2br w:val="nil"/>
              <w:tr2bl w:val="nil"/>
            </w:tcBorders>
            <w:vAlign w:val="center"/>
          </w:tcPr>
          <w:p w14:paraId="53BF7A70">
            <w:pPr>
              <w:widowControl/>
              <w:jc w:val="center"/>
              <w:rPr>
                <w:rFonts w:ascii="宋体" w:hAnsi="宋体" w:eastAsia="宋体" w:cs="宋体"/>
                <w:bCs/>
                <w:kern w:val="0"/>
                <w:szCs w:val="21"/>
                <w:highlight w:val="none"/>
              </w:rPr>
            </w:pPr>
          </w:p>
        </w:tc>
      </w:tr>
      <w:tr w14:paraId="043A54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55" w:type="dxa"/>
            <w:tcBorders>
              <w:tl2br w:val="nil"/>
              <w:tr2bl w:val="nil"/>
            </w:tcBorders>
            <w:vAlign w:val="center"/>
          </w:tcPr>
          <w:p w14:paraId="11A60FCC">
            <w:pPr>
              <w:widowControl/>
              <w:spacing w:line="320" w:lineRule="exact"/>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体检套餐</w:t>
            </w:r>
          </w:p>
          <w:p w14:paraId="1B3F7F59">
            <w:pPr>
              <w:widowControl/>
              <w:spacing w:line="320" w:lineRule="exact"/>
              <w:jc w:val="center"/>
              <w:rPr>
                <w:rFonts w:hint="eastAsia" w:ascii="宋体" w:hAnsi="宋体" w:eastAsia="宋体" w:cs="宋体"/>
                <w:b/>
                <w:kern w:val="0"/>
                <w:szCs w:val="21"/>
                <w:highlight w:val="none"/>
              </w:rPr>
            </w:pPr>
            <w:r>
              <w:rPr>
                <w:rFonts w:hint="eastAsia" w:ascii="宋体" w:hAnsi="宋体" w:eastAsia="宋体" w:cs="宋体"/>
                <w:bCs/>
                <w:kern w:val="0"/>
                <w:szCs w:val="21"/>
                <w:highlight w:val="none"/>
              </w:rPr>
              <w:t>（限价</w:t>
            </w:r>
            <w:r>
              <w:rPr>
                <w:rFonts w:hint="eastAsia" w:ascii="宋体" w:hAnsi="宋体" w:eastAsia="宋体" w:cs="宋体"/>
                <w:bCs/>
                <w:kern w:val="0"/>
                <w:szCs w:val="21"/>
                <w:highlight w:val="none"/>
                <w:lang w:val="en-US" w:eastAsia="zh-CN"/>
              </w:rPr>
              <w:t>500</w:t>
            </w:r>
            <w:r>
              <w:rPr>
                <w:rFonts w:hint="eastAsia" w:ascii="宋体" w:hAnsi="宋体" w:eastAsia="宋体" w:cs="宋体"/>
                <w:bCs/>
                <w:kern w:val="0"/>
                <w:szCs w:val="21"/>
                <w:highlight w:val="none"/>
              </w:rPr>
              <w:t>元/人）</w:t>
            </w:r>
          </w:p>
        </w:tc>
        <w:tc>
          <w:tcPr>
            <w:tcW w:w="2251" w:type="dxa"/>
            <w:tcBorders>
              <w:tl2br w:val="nil"/>
              <w:tr2bl w:val="nil"/>
            </w:tcBorders>
            <w:vAlign w:val="center"/>
          </w:tcPr>
          <w:p w14:paraId="2F42EF3F">
            <w:pPr>
              <w:jc w:val="center"/>
              <w:rPr>
                <w:rFonts w:ascii="宋体" w:hAnsi="宋体"/>
                <w:b/>
                <w:highlight w:val="none"/>
              </w:rPr>
            </w:pPr>
          </w:p>
        </w:tc>
        <w:tc>
          <w:tcPr>
            <w:tcW w:w="1596" w:type="dxa"/>
            <w:tcBorders>
              <w:tl2br w:val="nil"/>
              <w:tr2bl w:val="nil"/>
            </w:tcBorders>
            <w:vAlign w:val="center"/>
          </w:tcPr>
          <w:p w14:paraId="5FAD7EC6">
            <w:pPr>
              <w:jc w:val="center"/>
              <w:rPr>
                <w:rFonts w:hint="default" w:ascii="宋体" w:hAnsi="宋体" w:eastAsiaTheme="minorEastAsia"/>
                <w:b/>
                <w:highlight w:val="none"/>
                <w:lang w:val="en-US" w:eastAsia="zh-CN"/>
              </w:rPr>
            </w:pPr>
            <w:r>
              <w:rPr>
                <w:rFonts w:hint="eastAsia" w:ascii="宋体" w:hAnsi="宋体" w:eastAsia="宋体" w:cs="宋体"/>
                <w:bCs/>
                <w:color w:val="000000"/>
                <w:kern w:val="0"/>
                <w:szCs w:val="21"/>
                <w:highlight w:val="none"/>
                <w:lang w:val="en-US" w:eastAsia="zh-CN"/>
              </w:rPr>
              <w:t>312</w:t>
            </w:r>
          </w:p>
        </w:tc>
        <w:tc>
          <w:tcPr>
            <w:tcW w:w="2344" w:type="dxa"/>
            <w:tcBorders>
              <w:tl2br w:val="nil"/>
              <w:tr2bl w:val="nil"/>
            </w:tcBorders>
            <w:vAlign w:val="center"/>
          </w:tcPr>
          <w:p w14:paraId="3B2C587F">
            <w:pPr>
              <w:jc w:val="center"/>
              <w:rPr>
                <w:rFonts w:ascii="宋体" w:hAnsi="宋体"/>
                <w:b/>
                <w:highlight w:val="none"/>
              </w:rPr>
            </w:pPr>
          </w:p>
        </w:tc>
      </w:tr>
      <w:tr w14:paraId="71E3B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2855" w:type="dxa"/>
            <w:tcBorders>
              <w:tl2br w:val="nil"/>
              <w:tr2bl w:val="nil"/>
            </w:tcBorders>
            <w:vAlign w:val="center"/>
          </w:tcPr>
          <w:p w14:paraId="4B261AC6">
            <w:pPr>
              <w:widowControl/>
              <w:spacing w:line="32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 xml:space="preserve">项目总报价 </w:t>
            </w:r>
          </w:p>
          <w:p w14:paraId="7E5DFF09">
            <w:pPr>
              <w:widowControl/>
              <w:spacing w:line="320" w:lineRule="exact"/>
              <w:jc w:val="center"/>
              <w:rPr>
                <w:rFonts w:hint="default" w:ascii="宋体" w:hAnsi="宋体" w:eastAsia="宋体" w:cs="宋体"/>
                <w:b/>
                <w:kern w:val="0"/>
                <w:szCs w:val="21"/>
                <w:highlight w:val="none"/>
                <w:lang w:val="en-US" w:eastAsia="zh-CN"/>
              </w:rPr>
            </w:pPr>
            <w:r>
              <w:rPr>
                <w:rFonts w:hint="eastAsia" w:ascii="宋体" w:hAnsi="宋体" w:eastAsia="宋体" w:cs="宋体"/>
                <w:b w:val="0"/>
                <w:bCs/>
                <w:kern w:val="0"/>
                <w:szCs w:val="21"/>
                <w:highlight w:val="none"/>
                <w:lang w:eastAsia="zh-CN"/>
              </w:rPr>
              <w:t>（</w:t>
            </w:r>
            <w:r>
              <w:rPr>
                <w:rFonts w:hint="eastAsia" w:ascii="宋体" w:hAnsi="宋体" w:eastAsia="宋体" w:cs="宋体"/>
                <w:b w:val="0"/>
                <w:bCs/>
                <w:kern w:val="0"/>
                <w:szCs w:val="21"/>
                <w:highlight w:val="none"/>
                <w:lang w:val="en-US" w:eastAsia="zh-CN"/>
              </w:rPr>
              <w:t>含增值税）</w:t>
            </w:r>
          </w:p>
        </w:tc>
        <w:tc>
          <w:tcPr>
            <w:tcW w:w="6191" w:type="dxa"/>
            <w:gridSpan w:val="3"/>
            <w:tcBorders>
              <w:tl2br w:val="nil"/>
              <w:tr2bl w:val="nil"/>
            </w:tcBorders>
            <w:vAlign w:val="center"/>
          </w:tcPr>
          <w:p w14:paraId="781D2A37">
            <w:pPr>
              <w:jc w:val="center"/>
              <w:rPr>
                <w:rFonts w:ascii="宋体" w:hAnsi="宋体"/>
                <w:b/>
                <w:highlight w:val="none"/>
              </w:rPr>
            </w:pPr>
          </w:p>
        </w:tc>
      </w:tr>
    </w:tbl>
    <w:p w14:paraId="34016665">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仿宋_GB2312" w:hAnsi="仿宋_GB2312" w:eastAsia="仿宋_GB2312" w:cs="仿宋_GB2312"/>
          <w:b/>
          <w:sz w:val="21"/>
          <w:szCs w:val="21"/>
          <w:highlight w:val="none"/>
        </w:rPr>
      </w:pPr>
      <w:r>
        <w:rPr>
          <w:rFonts w:hint="eastAsia" w:ascii="仿宋_GB2312" w:hAnsi="仿宋_GB2312" w:eastAsia="仿宋_GB2312" w:cs="仿宋_GB2312"/>
          <w:b/>
          <w:sz w:val="21"/>
          <w:szCs w:val="21"/>
          <w:highlight w:val="none"/>
        </w:rPr>
        <w:t xml:space="preserve">说明： </w:t>
      </w:r>
    </w:p>
    <w:p w14:paraId="4F0621E5">
      <w:pPr>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本表仅作为开标信息一览，实际报价以投标人投标文件中提交的报价表为准，但数据应保持一致，否则应由投标人进行澄清，澄清后价格不可突破投标报价上限，如拒不澄清或澄清后价格突破投标文件中报价上限的，按废标处理；</w:t>
      </w:r>
    </w:p>
    <w:p w14:paraId="6178439D">
      <w:pPr>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2.投标人如需对报价或其它内容加以说明，可在备注栏填写；</w:t>
      </w:r>
    </w:p>
    <w:p w14:paraId="25072A37">
      <w:pPr>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3.此表应经法定代表人或授权代表人签名，并加盖投标人单位公章，否则无效，作废标处理。</w:t>
      </w:r>
    </w:p>
    <w:p w14:paraId="0C47DBD6">
      <w:pPr>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4.投标金额大小写不一致的以大写为准。电子文档与纸质文档不一致的以纸质文档为准。正本与副本不一致的以正本为准。总价与计算结果不一致的以分项计算结果为准。</w:t>
      </w:r>
    </w:p>
    <w:p w14:paraId="30EE6227">
      <w:pPr>
        <w:ind w:firstLine="420" w:firstLineChars="20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5.投标总报价不得超过本项目限价</w:t>
      </w:r>
      <w:r>
        <w:rPr>
          <w:rFonts w:hint="eastAsia" w:ascii="仿宋_GB2312" w:hAnsi="仿宋_GB2312" w:eastAsia="仿宋_GB2312" w:cs="仿宋_GB2312"/>
          <w:bCs/>
          <w:sz w:val="21"/>
          <w:szCs w:val="21"/>
          <w:highlight w:val="none"/>
          <w:lang w:val="en-US" w:eastAsia="zh-CN"/>
        </w:rPr>
        <w:t>人民币</w:t>
      </w:r>
      <w:r>
        <w:rPr>
          <w:rFonts w:hint="eastAsia" w:ascii="仿宋" w:hAnsi="仿宋" w:eastAsia="仿宋" w:cs="仿宋"/>
          <w:bCs/>
          <w:sz w:val="21"/>
          <w:szCs w:val="21"/>
          <w:highlight w:val="none"/>
          <w:lang w:val="en-US" w:eastAsia="zh-CN"/>
        </w:rPr>
        <w:t>340860</w:t>
      </w:r>
      <w:r>
        <w:rPr>
          <w:rFonts w:hint="eastAsia" w:ascii="仿宋_GB2312" w:hAnsi="仿宋_GB2312" w:eastAsia="仿宋_GB2312" w:cs="仿宋_GB2312"/>
          <w:bCs/>
          <w:sz w:val="21"/>
          <w:szCs w:val="21"/>
          <w:highlight w:val="none"/>
        </w:rPr>
        <w:t>元</w:t>
      </w:r>
      <w:r>
        <w:rPr>
          <w:rFonts w:hint="eastAsia" w:ascii="仿宋_GB2312" w:hAnsi="仿宋_GB2312" w:eastAsia="仿宋_GB2312" w:cs="仿宋_GB2312"/>
          <w:bCs/>
          <w:sz w:val="21"/>
          <w:szCs w:val="21"/>
          <w:highlight w:val="none"/>
          <w:lang w:eastAsia="zh-CN"/>
        </w:rPr>
        <w:t>（</w:t>
      </w:r>
      <w:r>
        <w:rPr>
          <w:rFonts w:hint="eastAsia" w:ascii="仿宋_GB2312" w:hAnsi="仿宋_GB2312" w:eastAsia="仿宋_GB2312" w:cs="仿宋_GB2312"/>
          <w:bCs/>
          <w:sz w:val="21"/>
          <w:szCs w:val="21"/>
          <w:highlight w:val="none"/>
          <w:lang w:val="en-US" w:eastAsia="zh-CN"/>
        </w:rPr>
        <w:t>含增值税）</w:t>
      </w:r>
      <w:r>
        <w:rPr>
          <w:rFonts w:hint="eastAsia" w:ascii="仿宋_GB2312" w:hAnsi="仿宋_GB2312" w:eastAsia="仿宋_GB2312" w:cs="仿宋_GB2312"/>
          <w:sz w:val="21"/>
          <w:szCs w:val="21"/>
          <w:highlight w:val="none"/>
        </w:rPr>
        <w:t>，套餐分项价格不得超过对应限价，否则按废标处理。</w:t>
      </w:r>
    </w:p>
    <w:p w14:paraId="47AF5F26">
      <w:pPr>
        <w:rPr>
          <w:rFonts w:ascii="宋体" w:hAnsi="宋体"/>
          <w:b/>
          <w:highlight w:val="none"/>
        </w:rPr>
      </w:pPr>
    </w:p>
    <w:p w14:paraId="206D17C5">
      <w:pPr>
        <w:rPr>
          <w:rFonts w:ascii="宋体" w:hAnsi="宋体"/>
          <w:b/>
          <w:highlight w:val="none"/>
        </w:rPr>
      </w:pPr>
    </w:p>
    <w:p w14:paraId="2DC5D916">
      <w:pPr>
        <w:rPr>
          <w:rFonts w:ascii="宋体" w:hAnsi="宋体"/>
          <w:b/>
          <w:highlight w:val="none"/>
        </w:rPr>
      </w:pPr>
    </w:p>
    <w:p w14:paraId="387F0585">
      <w:pPr>
        <w:rPr>
          <w:rFonts w:ascii="宋体" w:hAnsi="宋体"/>
          <w:b/>
          <w:highlight w:val="none"/>
        </w:rPr>
      </w:pPr>
    </w:p>
    <w:p w14:paraId="11A53EC1">
      <w:pPr>
        <w:rPr>
          <w:rFonts w:ascii="宋体" w:hAnsi="宋体"/>
          <w:b/>
          <w:highlight w:val="none"/>
        </w:rPr>
      </w:pPr>
    </w:p>
    <w:p w14:paraId="601489F3">
      <w:pPr>
        <w:rPr>
          <w:rFonts w:hint="eastAsia" w:ascii="仿宋" w:hAnsi="仿宋" w:eastAsia="仿宋" w:cs="仿宋"/>
          <w:b/>
          <w:highlight w:val="none"/>
        </w:rPr>
      </w:pPr>
    </w:p>
    <w:p w14:paraId="160D7DED">
      <w:pPr>
        <w:spacing w:line="560" w:lineRule="exact"/>
        <w:rPr>
          <w:rFonts w:hint="eastAsia" w:ascii="仿宋" w:hAnsi="仿宋" w:eastAsia="仿宋" w:cs="仿宋"/>
          <w:b w:val="0"/>
          <w:bCs/>
          <w:highlight w:val="none"/>
        </w:rPr>
      </w:pPr>
      <w:r>
        <w:rPr>
          <w:rFonts w:hint="eastAsia" w:ascii="仿宋" w:hAnsi="仿宋" w:eastAsia="仿宋" w:cs="仿宋"/>
          <w:b w:val="0"/>
          <w:bCs/>
          <w:highlight w:val="none"/>
        </w:rPr>
        <w:t>投标人（盖章）：</w:t>
      </w:r>
    </w:p>
    <w:p w14:paraId="2FA2EB66">
      <w:pPr>
        <w:spacing w:line="560" w:lineRule="exact"/>
        <w:rPr>
          <w:rFonts w:hint="eastAsia" w:ascii="仿宋" w:hAnsi="仿宋" w:eastAsia="仿宋" w:cs="仿宋"/>
          <w:b w:val="0"/>
          <w:bCs/>
          <w:highlight w:val="none"/>
        </w:rPr>
      </w:pPr>
      <w:r>
        <w:rPr>
          <w:rFonts w:hint="eastAsia" w:ascii="仿宋" w:hAnsi="仿宋" w:eastAsia="仿宋" w:cs="仿宋"/>
          <w:b w:val="0"/>
          <w:bCs/>
          <w:highlight w:val="none"/>
        </w:rPr>
        <w:t>法定代表人（或授权委托人）签名：</w:t>
      </w:r>
    </w:p>
    <w:p w14:paraId="4EA5AE6D">
      <w:pPr>
        <w:spacing w:line="560" w:lineRule="exact"/>
        <w:rPr>
          <w:rFonts w:hint="eastAsia" w:ascii="仿宋" w:hAnsi="仿宋" w:eastAsia="仿宋" w:cs="仿宋"/>
          <w:b w:val="0"/>
          <w:bCs/>
          <w:highlight w:val="none"/>
        </w:rPr>
        <w:sectPr>
          <w:footerReference r:id="rId6" w:type="default"/>
          <w:pgSz w:w="11907" w:h="16840"/>
          <w:pgMar w:top="2098" w:right="1474" w:bottom="1984" w:left="1587" w:header="1417" w:footer="603" w:gutter="0"/>
          <w:pgBorders>
            <w:top w:val="none" w:sz="0" w:space="0"/>
            <w:left w:val="none" w:sz="0" w:space="0"/>
            <w:bottom w:val="none" w:sz="0" w:space="0"/>
            <w:right w:val="none" w:sz="0" w:space="0"/>
          </w:pgBorders>
          <w:pgNumType w:start="1"/>
          <w:cols w:space="720" w:num="1"/>
          <w:docGrid w:linePitch="462" w:charSpace="0"/>
        </w:sectPr>
      </w:pPr>
      <w:r>
        <w:rPr>
          <w:rFonts w:hint="eastAsia" w:ascii="仿宋" w:hAnsi="仿宋" w:eastAsia="仿宋" w:cs="仿宋"/>
          <w:b w:val="0"/>
          <w:bCs/>
          <w:highlight w:val="none"/>
        </w:rPr>
        <w:t>日   期：</w:t>
      </w:r>
    </w:p>
    <w:p w14:paraId="16D35263">
      <w:pPr>
        <w:pStyle w:val="4"/>
        <w:ind w:firstLine="0" w:firstLineChars="0"/>
        <w:jc w:val="left"/>
        <w:rPr>
          <w:rFonts w:hint="eastAsia" w:ascii="黑体" w:hAnsi="黑体" w:eastAsia="黑体" w:cs="黑体"/>
          <w:b w:val="0"/>
          <w:bCs/>
          <w:sz w:val="24"/>
          <w:szCs w:val="28"/>
          <w:highlight w:val="none"/>
          <w:lang w:val="en-US"/>
        </w:rPr>
      </w:pPr>
      <w:bookmarkStart w:id="66" w:name="_Toc3119"/>
      <w:bookmarkStart w:id="67" w:name="_Toc25123_WPSOffice_Level1"/>
      <w:bookmarkStart w:id="68" w:name="_Toc23485"/>
      <w:bookmarkStart w:id="69" w:name="_Toc17910755"/>
      <w:bookmarkStart w:id="70" w:name="_Toc11257000"/>
      <w:r>
        <w:rPr>
          <w:rFonts w:hint="eastAsia" w:ascii="黑体" w:hAnsi="黑体" w:eastAsia="黑体" w:cs="黑体"/>
          <w:b w:val="0"/>
          <w:bCs/>
          <w:sz w:val="24"/>
          <w:szCs w:val="28"/>
          <w:highlight w:val="none"/>
        </w:rPr>
        <w:t>格式</w:t>
      </w:r>
      <w:r>
        <w:rPr>
          <w:rFonts w:hint="eastAsia" w:ascii="黑体" w:hAnsi="黑体" w:eastAsia="黑体" w:cs="黑体"/>
          <w:b w:val="0"/>
          <w:bCs/>
          <w:sz w:val="24"/>
          <w:szCs w:val="28"/>
          <w:highlight w:val="none"/>
          <w:lang w:val="en-US" w:eastAsia="zh-CN"/>
        </w:rPr>
        <w:t>3</w:t>
      </w:r>
      <w:r>
        <w:rPr>
          <w:rFonts w:hint="eastAsia" w:ascii="黑体" w:hAnsi="黑体" w:eastAsia="黑体" w:cs="黑体"/>
          <w:b w:val="0"/>
          <w:bCs/>
          <w:sz w:val="24"/>
          <w:szCs w:val="28"/>
          <w:highlight w:val="none"/>
        </w:rPr>
        <w:t>:</w:t>
      </w:r>
      <w:r>
        <w:rPr>
          <w:rFonts w:hint="eastAsia" w:ascii="黑体" w:hAnsi="黑体" w:eastAsia="黑体" w:cs="黑体"/>
          <w:b w:val="0"/>
          <w:bCs/>
          <w:sz w:val="24"/>
          <w:szCs w:val="28"/>
          <w:highlight w:val="none"/>
          <w:lang w:val="en-US" w:eastAsia="zh-CN"/>
        </w:rPr>
        <w:t>业绩证明</w:t>
      </w:r>
      <w:bookmarkEnd w:id="66"/>
    </w:p>
    <w:p w14:paraId="5D4C804D">
      <w:pPr>
        <w:widowControl w:val="0"/>
        <w:autoSpaceDE w:val="0"/>
        <w:autoSpaceDN w:val="0"/>
        <w:adjustRightInd w:val="0"/>
        <w:snapToGrid w:val="0"/>
        <w:ind w:firstLine="0" w:firstLineChars="0"/>
        <w:jc w:val="center"/>
        <w:rPr>
          <w:rFonts w:hint="eastAsia" w:ascii="宋体" w:hAnsi="宋体" w:eastAsiaTheme="minorEastAsia"/>
          <w:b/>
          <w:bCs/>
          <w:color w:val="000000"/>
          <w:sz w:val="32"/>
          <w:szCs w:val="32"/>
          <w:highlight w:val="none"/>
          <w:lang w:val="en-US" w:eastAsia="zh-CN"/>
        </w:rPr>
      </w:pPr>
      <w:r>
        <w:rPr>
          <w:rFonts w:hint="eastAsia" w:ascii="方正小标宋简体" w:hAnsi="方正小标宋简体" w:eastAsia="方正小标宋简体" w:cs="方正小标宋简体"/>
          <w:b w:val="0"/>
          <w:bCs w:val="0"/>
          <w:color w:val="000000"/>
          <w:sz w:val="40"/>
          <w:szCs w:val="40"/>
          <w:highlight w:val="none"/>
        </w:rPr>
        <w:t>业绩</w:t>
      </w:r>
      <w:r>
        <w:rPr>
          <w:rFonts w:hint="eastAsia" w:ascii="方正小标宋简体" w:hAnsi="方正小标宋简体" w:eastAsia="方正小标宋简体" w:cs="方正小标宋简体"/>
          <w:b w:val="0"/>
          <w:bCs w:val="0"/>
          <w:color w:val="000000"/>
          <w:sz w:val="40"/>
          <w:szCs w:val="40"/>
          <w:highlight w:val="none"/>
          <w:lang w:val="en-US" w:eastAsia="zh-CN"/>
        </w:rPr>
        <w:t>证明</w:t>
      </w:r>
    </w:p>
    <w:p w14:paraId="41195C3B">
      <w:pPr>
        <w:widowControl w:val="0"/>
        <w:autoSpaceDE w:val="0"/>
        <w:autoSpaceDN w:val="0"/>
        <w:adjustRightInd w:val="0"/>
        <w:snapToGrid w:val="0"/>
        <w:ind w:firstLine="0" w:firstLineChars="0"/>
        <w:rPr>
          <w:rFonts w:ascii="宋体" w:hAnsi="宋体"/>
          <w:color w:val="000000"/>
          <w:szCs w:val="21"/>
          <w:highlight w:val="none"/>
        </w:rPr>
      </w:pPr>
      <w:r>
        <w:rPr>
          <w:rFonts w:hint="eastAsia" w:ascii="宋体" w:hAnsi="宋体"/>
          <w:color w:val="000000"/>
          <w:szCs w:val="21"/>
          <w:highlight w:val="none"/>
        </w:rPr>
        <w:t>致：</w:t>
      </w:r>
      <w:r>
        <w:rPr>
          <w:rFonts w:hint="eastAsia" w:ascii="宋体" w:hAnsi="宋体"/>
          <w:color w:val="000000"/>
          <w:szCs w:val="21"/>
          <w:highlight w:val="none"/>
          <w:u w:val="single"/>
        </w:rPr>
        <w:t>（招标人）</w:t>
      </w:r>
    </w:p>
    <w:p w14:paraId="7D997F19">
      <w:pPr>
        <w:widowControl w:val="0"/>
        <w:autoSpaceDE w:val="0"/>
        <w:autoSpaceDN w:val="0"/>
        <w:adjustRightInd w:val="0"/>
        <w:snapToGrid w:val="0"/>
        <w:ind w:firstLine="420"/>
        <w:rPr>
          <w:rFonts w:hint="eastAsia" w:ascii="宋体" w:hAnsi="宋体"/>
          <w:color w:val="000000"/>
          <w:szCs w:val="21"/>
          <w:highlight w:val="none"/>
        </w:rPr>
      </w:pPr>
      <w:r>
        <w:rPr>
          <w:rFonts w:hint="eastAsia" w:ascii="宋体" w:hAnsi="宋体"/>
          <w:color w:val="000000"/>
          <w:szCs w:val="21"/>
          <w:highlight w:val="none"/>
        </w:rPr>
        <w:t>我方根据贵公司招标文件要求提供</w:t>
      </w:r>
      <w:r>
        <w:rPr>
          <w:rFonts w:hint="eastAsia" w:ascii="宋体" w:hAnsi="宋体"/>
          <w:color w:val="000000"/>
          <w:szCs w:val="21"/>
          <w:highlight w:val="none"/>
          <w:u w:val="single"/>
        </w:rPr>
        <w:t xml:space="preserve">    </w:t>
      </w:r>
      <w:r>
        <w:rPr>
          <w:rFonts w:hint="eastAsia" w:ascii="宋体" w:hAnsi="宋体"/>
          <w:color w:val="000000"/>
          <w:szCs w:val="21"/>
          <w:highlight w:val="none"/>
        </w:rPr>
        <w:t>年</w:t>
      </w:r>
      <w:r>
        <w:rPr>
          <w:rFonts w:hint="eastAsia" w:ascii="宋体" w:hAnsi="宋体"/>
          <w:color w:val="000000"/>
          <w:szCs w:val="21"/>
          <w:highlight w:val="none"/>
          <w:u w:val="single"/>
        </w:rPr>
        <w:t xml:space="preserve">    </w:t>
      </w:r>
      <w:r>
        <w:rPr>
          <w:rFonts w:hint="eastAsia" w:ascii="宋体" w:hAnsi="宋体"/>
          <w:color w:val="000000"/>
          <w:szCs w:val="21"/>
          <w:highlight w:val="none"/>
        </w:rPr>
        <w:t>月</w:t>
      </w:r>
      <w:r>
        <w:rPr>
          <w:rFonts w:hint="eastAsia" w:ascii="宋体" w:hAnsi="宋体"/>
          <w:color w:val="000000"/>
          <w:szCs w:val="21"/>
          <w:highlight w:val="none"/>
          <w:u w:val="single"/>
        </w:rPr>
        <w:t xml:space="preserve">    </w:t>
      </w:r>
      <w:r>
        <w:rPr>
          <w:rFonts w:hint="eastAsia" w:ascii="宋体" w:hAnsi="宋体"/>
          <w:color w:val="000000"/>
          <w:szCs w:val="21"/>
          <w:highlight w:val="none"/>
        </w:rPr>
        <w:t>日至投标截止时间真实的业绩资料，证明合同附后，清单如下：</w:t>
      </w:r>
    </w:p>
    <w:p w14:paraId="5A07095D">
      <w:pPr>
        <w:widowControl w:val="0"/>
        <w:autoSpaceDE w:val="0"/>
        <w:autoSpaceDN w:val="0"/>
        <w:adjustRightInd w:val="0"/>
        <w:snapToGrid w:val="0"/>
        <w:ind w:firstLine="420"/>
        <w:rPr>
          <w:rFonts w:hint="eastAsia" w:ascii="宋体" w:hAnsi="宋体"/>
          <w:color w:val="000000"/>
          <w:szCs w:val="21"/>
          <w:highlight w:val="none"/>
        </w:rPr>
      </w:pPr>
    </w:p>
    <w:tbl>
      <w:tblPr>
        <w:tblStyle w:val="15"/>
        <w:tblW w:w="403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98"/>
        <w:gridCol w:w="1788"/>
        <w:gridCol w:w="1114"/>
        <w:gridCol w:w="1229"/>
        <w:gridCol w:w="1762"/>
        <w:gridCol w:w="811"/>
      </w:tblGrid>
      <w:tr w14:paraId="6C937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26" w:hRule="atLeast"/>
          <w:jc w:val="center"/>
        </w:trPr>
        <w:tc>
          <w:tcPr>
            <w:tcW w:w="591" w:type="pct"/>
            <w:tcBorders>
              <w:top w:val="single" w:color="auto" w:sz="4" w:space="0"/>
            </w:tcBorders>
            <w:shd w:val="clear" w:color="auto" w:fill="auto"/>
            <w:vAlign w:val="center"/>
          </w:tcPr>
          <w:p w14:paraId="7024C834">
            <w:pPr>
              <w:widowControl w:val="0"/>
              <w:autoSpaceDE w:val="0"/>
              <w:autoSpaceDN w:val="0"/>
              <w:adjustRightInd w:val="0"/>
              <w:snapToGrid w:val="0"/>
              <w:ind w:firstLine="0" w:firstLineChars="0"/>
              <w:jc w:val="center"/>
              <w:rPr>
                <w:rFonts w:ascii="宋体" w:hAnsi="宋体"/>
                <w:b/>
                <w:color w:val="000000"/>
                <w:szCs w:val="21"/>
                <w:highlight w:val="none"/>
              </w:rPr>
            </w:pPr>
            <w:r>
              <w:rPr>
                <w:rFonts w:hint="eastAsia" w:ascii="宋体" w:hAnsi="宋体"/>
                <w:b/>
                <w:color w:val="000000"/>
                <w:szCs w:val="21"/>
                <w:highlight w:val="none"/>
              </w:rPr>
              <w:t>序号</w:t>
            </w:r>
          </w:p>
        </w:tc>
        <w:tc>
          <w:tcPr>
            <w:tcW w:w="1175" w:type="pct"/>
            <w:shd w:val="clear" w:color="auto" w:fill="auto"/>
            <w:vAlign w:val="center"/>
          </w:tcPr>
          <w:p w14:paraId="39CAB7D4">
            <w:pPr>
              <w:widowControl w:val="0"/>
              <w:autoSpaceDE w:val="0"/>
              <w:autoSpaceDN w:val="0"/>
              <w:adjustRightInd w:val="0"/>
              <w:snapToGrid w:val="0"/>
              <w:ind w:firstLine="0" w:firstLineChars="0"/>
              <w:jc w:val="center"/>
              <w:rPr>
                <w:rFonts w:ascii="宋体" w:hAnsi="宋体"/>
                <w:b/>
                <w:color w:val="000000"/>
                <w:szCs w:val="21"/>
                <w:highlight w:val="none"/>
              </w:rPr>
            </w:pPr>
            <w:r>
              <w:rPr>
                <w:rFonts w:hint="eastAsia" w:ascii="宋体" w:hAnsi="宋体"/>
                <w:b/>
                <w:color w:val="000000"/>
                <w:szCs w:val="21"/>
                <w:highlight w:val="none"/>
              </w:rPr>
              <w:t>合同</w:t>
            </w:r>
            <w:r>
              <w:rPr>
                <w:rFonts w:hint="eastAsia" w:ascii="宋体" w:hAnsi="宋体"/>
                <w:b/>
                <w:color w:val="000000"/>
                <w:szCs w:val="21"/>
                <w:highlight w:val="none"/>
                <w:lang w:val="en-US" w:eastAsia="zh-CN"/>
              </w:rPr>
              <w:t>项目</w:t>
            </w:r>
            <w:r>
              <w:rPr>
                <w:rFonts w:hint="eastAsia" w:ascii="宋体" w:hAnsi="宋体"/>
                <w:b/>
                <w:color w:val="000000"/>
                <w:szCs w:val="21"/>
                <w:highlight w:val="none"/>
              </w:rPr>
              <w:t>名称</w:t>
            </w:r>
          </w:p>
        </w:tc>
        <w:tc>
          <w:tcPr>
            <w:tcW w:w="732" w:type="pct"/>
            <w:tcBorders>
              <w:right w:val="single" w:color="auto" w:sz="4" w:space="0"/>
            </w:tcBorders>
            <w:shd w:val="clear" w:color="auto" w:fill="auto"/>
            <w:vAlign w:val="center"/>
          </w:tcPr>
          <w:p w14:paraId="0C3F1E25">
            <w:pPr>
              <w:widowControl w:val="0"/>
              <w:autoSpaceDE w:val="0"/>
              <w:autoSpaceDN w:val="0"/>
              <w:adjustRightInd w:val="0"/>
              <w:snapToGrid w:val="0"/>
              <w:ind w:firstLine="0" w:firstLineChars="0"/>
              <w:jc w:val="center"/>
              <w:rPr>
                <w:rFonts w:hint="default" w:ascii="宋体" w:hAnsi="宋体"/>
                <w:b/>
                <w:color w:val="000000"/>
                <w:szCs w:val="21"/>
                <w:highlight w:val="none"/>
                <w:lang w:val="en-US"/>
              </w:rPr>
            </w:pPr>
            <w:r>
              <w:rPr>
                <w:rFonts w:hint="eastAsia" w:ascii="宋体" w:hAnsi="宋体"/>
                <w:b/>
                <w:color w:val="000000"/>
                <w:szCs w:val="21"/>
                <w:highlight w:val="none"/>
                <w:lang w:val="en-US" w:eastAsia="zh-CN"/>
              </w:rPr>
              <w:t>合同期限</w:t>
            </w:r>
          </w:p>
        </w:tc>
        <w:tc>
          <w:tcPr>
            <w:tcW w:w="808" w:type="pct"/>
            <w:shd w:val="clear" w:color="auto" w:fill="auto"/>
            <w:vAlign w:val="center"/>
          </w:tcPr>
          <w:p w14:paraId="3A89FACE">
            <w:pPr>
              <w:widowControl w:val="0"/>
              <w:autoSpaceDE w:val="0"/>
              <w:autoSpaceDN w:val="0"/>
              <w:adjustRightInd w:val="0"/>
              <w:snapToGrid w:val="0"/>
              <w:ind w:firstLine="0" w:firstLineChars="0"/>
              <w:jc w:val="center"/>
              <w:rPr>
                <w:rFonts w:hint="eastAsia" w:ascii="宋体" w:hAnsi="宋体"/>
                <w:b/>
                <w:color w:val="000000"/>
                <w:szCs w:val="21"/>
                <w:highlight w:val="none"/>
              </w:rPr>
            </w:pPr>
            <w:r>
              <w:rPr>
                <w:rFonts w:hint="eastAsia" w:ascii="宋体" w:hAnsi="宋体"/>
                <w:b/>
                <w:color w:val="000000"/>
                <w:szCs w:val="21"/>
                <w:highlight w:val="none"/>
              </w:rPr>
              <w:t>合同金额</w:t>
            </w:r>
          </w:p>
        </w:tc>
        <w:tc>
          <w:tcPr>
            <w:tcW w:w="1158" w:type="pct"/>
            <w:shd w:val="clear" w:color="auto" w:fill="auto"/>
            <w:vAlign w:val="center"/>
          </w:tcPr>
          <w:p w14:paraId="11FFA581">
            <w:pPr>
              <w:widowControl w:val="0"/>
              <w:autoSpaceDE w:val="0"/>
              <w:autoSpaceDN w:val="0"/>
              <w:adjustRightInd w:val="0"/>
              <w:snapToGrid w:val="0"/>
              <w:ind w:firstLine="0" w:firstLineChars="0"/>
              <w:jc w:val="center"/>
              <w:rPr>
                <w:rFonts w:hint="default" w:ascii="宋体" w:hAnsi="宋体"/>
                <w:b/>
                <w:color w:val="000000"/>
                <w:szCs w:val="21"/>
                <w:highlight w:val="none"/>
                <w:lang w:val="en-US" w:eastAsia="zh-CN"/>
              </w:rPr>
            </w:pPr>
            <w:r>
              <w:rPr>
                <w:rFonts w:hint="eastAsia" w:ascii="宋体" w:hAnsi="宋体"/>
                <w:b/>
                <w:color w:val="000000"/>
                <w:szCs w:val="21"/>
                <w:highlight w:val="none"/>
                <w:lang w:val="en-US" w:eastAsia="zh-CN"/>
              </w:rPr>
              <w:t>服务项目企业</w:t>
            </w:r>
          </w:p>
          <w:p w14:paraId="6837FA65">
            <w:pPr>
              <w:widowControl w:val="0"/>
              <w:autoSpaceDE w:val="0"/>
              <w:autoSpaceDN w:val="0"/>
              <w:adjustRightInd w:val="0"/>
              <w:snapToGrid w:val="0"/>
              <w:ind w:firstLine="0" w:firstLineChars="0"/>
              <w:jc w:val="center"/>
              <w:rPr>
                <w:rFonts w:hint="default" w:ascii="宋体" w:hAnsi="宋体" w:eastAsiaTheme="minorEastAsia"/>
                <w:b/>
                <w:color w:val="000000"/>
                <w:szCs w:val="21"/>
                <w:highlight w:val="none"/>
                <w:lang w:val="en-US" w:eastAsia="zh-CN"/>
              </w:rPr>
            </w:pPr>
            <w:r>
              <w:rPr>
                <w:rFonts w:hint="eastAsia" w:ascii="宋体" w:hAnsi="宋体"/>
                <w:b/>
                <w:color w:val="000000"/>
                <w:szCs w:val="21"/>
                <w:highlight w:val="none"/>
                <w:lang w:val="en-US" w:eastAsia="zh-CN"/>
              </w:rPr>
              <w:t>所属行业</w:t>
            </w:r>
          </w:p>
        </w:tc>
        <w:tc>
          <w:tcPr>
            <w:tcW w:w="533" w:type="pct"/>
            <w:shd w:val="clear" w:color="auto" w:fill="auto"/>
            <w:vAlign w:val="center"/>
          </w:tcPr>
          <w:p w14:paraId="3DC10FAC">
            <w:pPr>
              <w:widowControl w:val="0"/>
              <w:autoSpaceDE w:val="0"/>
              <w:autoSpaceDN w:val="0"/>
              <w:adjustRightInd w:val="0"/>
              <w:snapToGrid w:val="0"/>
              <w:ind w:firstLine="0" w:firstLineChars="0"/>
              <w:jc w:val="center"/>
              <w:rPr>
                <w:rFonts w:ascii="宋体" w:hAnsi="宋体"/>
                <w:b/>
                <w:color w:val="000000"/>
                <w:szCs w:val="21"/>
                <w:highlight w:val="none"/>
              </w:rPr>
            </w:pPr>
            <w:r>
              <w:rPr>
                <w:rFonts w:hint="eastAsia" w:ascii="宋体" w:hAnsi="宋体"/>
                <w:b/>
                <w:color w:val="000000"/>
                <w:szCs w:val="21"/>
                <w:highlight w:val="none"/>
              </w:rPr>
              <w:t>详见页码</w:t>
            </w:r>
          </w:p>
        </w:tc>
      </w:tr>
      <w:tr w14:paraId="7BCAB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2" w:hRule="atLeast"/>
          <w:jc w:val="center"/>
        </w:trPr>
        <w:tc>
          <w:tcPr>
            <w:tcW w:w="591" w:type="pct"/>
            <w:shd w:val="clear" w:color="auto" w:fill="auto"/>
            <w:vAlign w:val="center"/>
          </w:tcPr>
          <w:p w14:paraId="7AE772B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1</w:t>
            </w:r>
          </w:p>
        </w:tc>
        <w:tc>
          <w:tcPr>
            <w:tcW w:w="1175" w:type="pct"/>
            <w:shd w:val="clear" w:color="auto" w:fill="auto"/>
            <w:vAlign w:val="center"/>
          </w:tcPr>
          <w:p w14:paraId="2CD5F1B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152CF01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1B16BE1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01FF5F6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21BE975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P</w:t>
            </w:r>
          </w:p>
        </w:tc>
      </w:tr>
      <w:tr w14:paraId="3F1C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jc w:val="center"/>
        </w:trPr>
        <w:tc>
          <w:tcPr>
            <w:tcW w:w="591" w:type="pct"/>
            <w:shd w:val="clear" w:color="auto" w:fill="auto"/>
            <w:vAlign w:val="center"/>
          </w:tcPr>
          <w:p w14:paraId="68975C0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2</w:t>
            </w:r>
          </w:p>
        </w:tc>
        <w:tc>
          <w:tcPr>
            <w:tcW w:w="1175" w:type="pct"/>
            <w:shd w:val="clear" w:color="auto" w:fill="auto"/>
            <w:vAlign w:val="center"/>
          </w:tcPr>
          <w:p w14:paraId="6E4BC21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145ADBA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1F2E643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158BFE3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4110124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P</w:t>
            </w:r>
          </w:p>
        </w:tc>
      </w:tr>
      <w:tr w14:paraId="44EFB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6" w:hRule="atLeast"/>
          <w:jc w:val="center"/>
        </w:trPr>
        <w:tc>
          <w:tcPr>
            <w:tcW w:w="591" w:type="pct"/>
            <w:shd w:val="clear" w:color="auto" w:fill="auto"/>
            <w:vAlign w:val="center"/>
          </w:tcPr>
          <w:p w14:paraId="1ADA335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3</w:t>
            </w:r>
          </w:p>
        </w:tc>
        <w:tc>
          <w:tcPr>
            <w:tcW w:w="1175" w:type="pct"/>
            <w:shd w:val="clear" w:color="auto" w:fill="auto"/>
            <w:vAlign w:val="center"/>
          </w:tcPr>
          <w:p w14:paraId="49459E0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3F04A63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21AD6C9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3FB5BA3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37869BD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P</w:t>
            </w:r>
          </w:p>
        </w:tc>
      </w:tr>
      <w:tr w14:paraId="5150A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591" w:type="pct"/>
            <w:shd w:val="clear" w:color="auto" w:fill="auto"/>
            <w:vAlign w:val="center"/>
          </w:tcPr>
          <w:p w14:paraId="3DB3C37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4</w:t>
            </w:r>
          </w:p>
        </w:tc>
        <w:tc>
          <w:tcPr>
            <w:tcW w:w="1175" w:type="pct"/>
            <w:shd w:val="clear" w:color="auto" w:fill="auto"/>
            <w:vAlign w:val="center"/>
          </w:tcPr>
          <w:p w14:paraId="62A8BAF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762EF2B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590F65B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60211BD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5C9905A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P</w:t>
            </w:r>
          </w:p>
        </w:tc>
      </w:tr>
      <w:tr w14:paraId="47B92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591" w:type="pct"/>
            <w:shd w:val="clear" w:color="auto" w:fill="auto"/>
            <w:vAlign w:val="center"/>
          </w:tcPr>
          <w:p w14:paraId="05EEE744">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5</w:t>
            </w:r>
          </w:p>
        </w:tc>
        <w:tc>
          <w:tcPr>
            <w:tcW w:w="1175" w:type="pct"/>
            <w:shd w:val="clear" w:color="auto" w:fill="auto"/>
            <w:vAlign w:val="center"/>
          </w:tcPr>
          <w:p w14:paraId="56F0CB1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3726FD1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35BD7D9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110DE49B">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3AB8550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r>
              <w:rPr>
                <w:rFonts w:hint="eastAsia" w:ascii="宋体" w:hAnsi="宋体"/>
                <w:color w:val="000000"/>
                <w:szCs w:val="21"/>
                <w:highlight w:val="none"/>
              </w:rPr>
              <w:t>P</w:t>
            </w:r>
          </w:p>
        </w:tc>
      </w:tr>
      <w:tr w14:paraId="27BAC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4" w:hRule="atLeast"/>
          <w:jc w:val="center"/>
        </w:trPr>
        <w:tc>
          <w:tcPr>
            <w:tcW w:w="591" w:type="pct"/>
            <w:shd w:val="clear" w:color="auto" w:fill="auto"/>
            <w:vAlign w:val="center"/>
          </w:tcPr>
          <w:p w14:paraId="4B2FDF0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6</w:t>
            </w:r>
          </w:p>
        </w:tc>
        <w:tc>
          <w:tcPr>
            <w:tcW w:w="1175" w:type="pct"/>
            <w:shd w:val="clear" w:color="auto" w:fill="auto"/>
            <w:vAlign w:val="center"/>
          </w:tcPr>
          <w:p w14:paraId="56EAE4A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7D44349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547F0FF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1C5B640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2462FF9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color w:val="000000"/>
                <w:szCs w:val="21"/>
                <w:highlight w:val="none"/>
              </w:rPr>
            </w:pPr>
            <w:r>
              <w:rPr>
                <w:rFonts w:hint="eastAsia" w:ascii="宋体" w:hAnsi="宋体"/>
                <w:color w:val="000000"/>
                <w:szCs w:val="21"/>
                <w:highlight w:val="none"/>
              </w:rPr>
              <w:t>P</w:t>
            </w:r>
          </w:p>
        </w:tc>
      </w:tr>
      <w:tr w14:paraId="49638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1" w:type="pct"/>
            <w:shd w:val="clear" w:color="auto" w:fill="auto"/>
            <w:vAlign w:val="center"/>
          </w:tcPr>
          <w:p w14:paraId="7B37417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宋体" w:hAnsi="宋体"/>
                <w:color w:val="000000"/>
                <w:szCs w:val="21"/>
                <w:highlight w:val="none"/>
                <w:lang w:val="en-US" w:eastAsia="zh-CN"/>
              </w:rPr>
            </w:pPr>
            <w:r>
              <w:rPr>
                <w:rFonts w:hint="eastAsia" w:ascii="宋体" w:hAnsi="宋体"/>
                <w:color w:val="000000"/>
                <w:szCs w:val="21"/>
                <w:highlight w:val="none"/>
                <w:lang w:val="en-US" w:eastAsia="zh-CN"/>
              </w:rPr>
              <w:t>7</w:t>
            </w:r>
          </w:p>
        </w:tc>
        <w:tc>
          <w:tcPr>
            <w:tcW w:w="1175" w:type="pct"/>
            <w:shd w:val="clear" w:color="auto" w:fill="auto"/>
            <w:vAlign w:val="center"/>
          </w:tcPr>
          <w:p w14:paraId="56B7772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5FA13AF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744ED3A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6830855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5D19952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color w:val="000000"/>
                <w:szCs w:val="21"/>
                <w:highlight w:val="none"/>
              </w:rPr>
            </w:pPr>
            <w:r>
              <w:rPr>
                <w:rFonts w:hint="eastAsia" w:ascii="宋体" w:hAnsi="宋体"/>
                <w:color w:val="000000"/>
                <w:szCs w:val="21"/>
                <w:highlight w:val="none"/>
              </w:rPr>
              <w:t>P</w:t>
            </w:r>
          </w:p>
        </w:tc>
      </w:tr>
      <w:tr w14:paraId="7FD1D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2" w:hRule="atLeast"/>
          <w:jc w:val="center"/>
        </w:trPr>
        <w:tc>
          <w:tcPr>
            <w:tcW w:w="591" w:type="pct"/>
            <w:shd w:val="clear" w:color="auto" w:fill="auto"/>
            <w:vAlign w:val="center"/>
          </w:tcPr>
          <w:p w14:paraId="0B28DC9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8</w:t>
            </w:r>
          </w:p>
        </w:tc>
        <w:tc>
          <w:tcPr>
            <w:tcW w:w="1175" w:type="pct"/>
            <w:shd w:val="clear" w:color="auto" w:fill="auto"/>
            <w:vAlign w:val="center"/>
          </w:tcPr>
          <w:p w14:paraId="7670B4C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0F8C3EE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7E18EF1E">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2F18834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3AD2D0E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color w:val="000000"/>
                <w:szCs w:val="21"/>
                <w:highlight w:val="none"/>
              </w:rPr>
            </w:pPr>
            <w:r>
              <w:rPr>
                <w:rFonts w:hint="eastAsia" w:ascii="宋体" w:hAnsi="宋体"/>
                <w:color w:val="000000"/>
                <w:szCs w:val="21"/>
                <w:highlight w:val="none"/>
              </w:rPr>
              <w:t>P</w:t>
            </w:r>
          </w:p>
        </w:tc>
      </w:tr>
      <w:tr w14:paraId="513F6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 w:hRule="atLeast"/>
          <w:jc w:val="center"/>
        </w:trPr>
        <w:tc>
          <w:tcPr>
            <w:tcW w:w="591" w:type="pct"/>
            <w:shd w:val="clear" w:color="auto" w:fill="auto"/>
            <w:vAlign w:val="center"/>
          </w:tcPr>
          <w:p w14:paraId="2A3BF7E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9</w:t>
            </w:r>
          </w:p>
        </w:tc>
        <w:tc>
          <w:tcPr>
            <w:tcW w:w="1175" w:type="pct"/>
            <w:shd w:val="clear" w:color="auto" w:fill="auto"/>
            <w:vAlign w:val="center"/>
          </w:tcPr>
          <w:p w14:paraId="428D51C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7C9C74C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639C04BD">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1F08770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6FEDBDB1">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color w:val="000000"/>
                <w:szCs w:val="21"/>
                <w:highlight w:val="none"/>
              </w:rPr>
            </w:pPr>
            <w:r>
              <w:rPr>
                <w:rFonts w:hint="eastAsia" w:ascii="宋体" w:hAnsi="宋体"/>
                <w:color w:val="000000"/>
                <w:szCs w:val="21"/>
                <w:highlight w:val="none"/>
              </w:rPr>
              <w:t>P</w:t>
            </w:r>
          </w:p>
        </w:tc>
      </w:tr>
      <w:tr w14:paraId="25186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591" w:type="pct"/>
            <w:shd w:val="clear" w:color="auto" w:fill="auto"/>
            <w:vAlign w:val="center"/>
          </w:tcPr>
          <w:p w14:paraId="07AEAED7">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10</w:t>
            </w:r>
          </w:p>
        </w:tc>
        <w:tc>
          <w:tcPr>
            <w:tcW w:w="1175" w:type="pct"/>
            <w:shd w:val="clear" w:color="auto" w:fill="auto"/>
            <w:vAlign w:val="center"/>
          </w:tcPr>
          <w:p w14:paraId="68AD834A">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6F9589DF">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00270AA3">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26C240D6">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74A00098">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color w:val="000000"/>
                <w:szCs w:val="21"/>
                <w:highlight w:val="none"/>
              </w:rPr>
            </w:pPr>
            <w:r>
              <w:rPr>
                <w:rFonts w:hint="eastAsia" w:ascii="宋体" w:hAnsi="宋体"/>
                <w:color w:val="000000"/>
                <w:szCs w:val="21"/>
                <w:highlight w:val="none"/>
              </w:rPr>
              <w:t>P</w:t>
            </w:r>
          </w:p>
        </w:tc>
      </w:tr>
      <w:tr w14:paraId="1A2394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91" w:type="pct"/>
            <w:shd w:val="clear" w:color="auto" w:fill="auto"/>
            <w:vAlign w:val="center"/>
          </w:tcPr>
          <w:p w14:paraId="1ED01322">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default" w:ascii="宋体" w:hAnsi="宋体" w:eastAsiaTheme="minorEastAsia"/>
                <w:color w:val="000000"/>
                <w:szCs w:val="21"/>
                <w:highlight w:val="none"/>
                <w:lang w:val="en-US" w:eastAsia="zh-CN"/>
              </w:rPr>
            </w:pPr>
            <w:r>
              <w:rPr>
                <w:rFonts w:hint="eastAsia" w:ascii="宋体" w:hAnsi="宋体"/>
                <w:color w:val="000000"/>
                <w:szCs w:val="21"/>
                <w:highlight w:val="none"/>
                <w:lang w:val="en-US" w:eastAsia="zh-CN"/>
              </w:rPr>
              <w:t>....</w:t>
            </w:r>
          </w:p>
        </w:tc>
        <w:tc>
          <w:tcPr>
            <w:tcW w:w="1175" w:type="pct"/>
            <w:shd w:val="clear" w:color="auto" w:fill="auto"/>
            <w:vAlign w:val="center"/>
          </w:tcPr>
          <w:p w14:paraId="64D4300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732" w:type="pct"/>
            <w:tcBorders>
              <w:right w:val="single" w:color="auto" w:sz="4" w:space="0"/>
            </w:tcBorders>
            <w:shd w:val="clear" w:color="auto" w:fill="auto"/>
            <w:vAlign w:val="center"/>
          </w:tcPr>
          <w:p w14:paraId="25A84195">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808" w:type="pct"/>
            <w:shd w:val="clear" w:color="auto" w:fill="auto"/>
            <w:vAlign w:val="center"/>
          </w:tcPr>
          <w:p w14:paraId="74EBBF00">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1158" w:type="pct"/>
            <w:shd w:val="clear" w:color="auto" w:fill="auto"/>
            <w:vAlign w:val="center"/>
          </w:tcPr>
          <w:p w14:paraId="26BAADBC">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ascii="宋体" w:hAnsi="宋体"/>
                <w:color w:val="000000"/>
                <w:szCs w:val="21"/>
                <w:highlight w:val="none"/>
              </w:rPr>
            </w:pPr>
          </w:p>
        </w:tc>
        <w:tc>
          <w:tcPr>
            <w:tcW w:w="533" w:type="pct"/>
            <w:shd w:val="clear" w:color="auto" w:fill="auto"/>
            <w:vAlign w:val="center"/>
          </w:tcPr>
          <w:p w14:paraId="5E7113A9">
            <w:pPr>
              <w:keepNext w:val="0"/>
              <w:keepLines w:val="0"/>
              <w:pageBreakBefore w:val="0"/>
              <w:widowControl w:val="0"/>
              <w:kinsoku/>
              <w:wordWrap/>
              <w:overflowPunct/>
              <w:topLinePunct w:val="0"/>
              <w:autoSpaceDE w:val="0"/>
              <w:autoSpaceDN w:val="0"/>
              <w:bidi w:val="0"/>
              <w:adjustRightInd w:val="0"/>
              <w:snapToGrid w:val="0"/>
              <w:spacing w:line="400" w:lineRule="exact"/>
              <w:ind w:firstLine="0" w:firstLineChars="0"/>
              <w:jc w:val="center"/>
              <w:textAlignment w:val="auto"/>
              <w:rPr>
                <w:rFonts w:hint="eastAsia" w:ascii="宋体" w:hAnsi="宋体"/>
                <w:color w:val="000000"/>
                <w:szCs w:val="21"/>
                <w:highlight w:val="none"/>
              </w:rPr>
            </w:pPr>
          </w:p>
        </w:tc>
      </w:tr>
    </w:tbl>
    <w:p w14:paraId="350B845E">
      <w:pPr>
        <w:keepNext w:val="0"/>
        <w:keepLines w:val="0"/>
        <w:pageBreakBefore w:val="0"/>
        <w:widowControl w:val="0"/>
        <w:kinsoku/>
        <w:wordWrap/>
        <w:overflowPunct/>
        <w:topLinePunct w:val="0"/>
        <w:autoSpaceDE w:val="0"/>
        <w:autoSpaceDN w:val="0"/>
        <w:bidi w:val="0"/>
        <w:adjustRightInd w:val="0"/>
        <w:snapToGrid w:val="0"/>
        <w:spacing w:line="400" w:lineRule="exact"/>
        <w:ind w:firstLine="422" w:firstLineChars="200"/>
        <w:textAlignment w:val="auto"/>
        <w:rPr>
          <w:rFonts w:ascii="宋体" w:hAnsi="宋体"/>
          <w:b/>
          <w:color w:val="000000"/>
          <w:szCs w:val="21"/>
          <w:highlight w:val="none"/>
        </w:rPr>
      </w:pPr>
      <w:r>
        <w:rPr>
          <w:rFonts w:hint="eastAsia" w:ascii="宋体" w:hAnsi="宋体"/>
          <w:b/>
          <w:color w:val="000000"/>
          <w:szCs w:val="21"/>
          <w:highlight w:val="none"/>
        </w:rPr>
        <w:t>重要提示：</w:t>
      </w:r>
    </w:p>
    <w:p w14:paraId="57C1F753">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宋体" w:hAnsi="宋体"/>
          <w:color w:val="000000"/>
          <w:szCs w:val="21"/>
          <w:highlight w:val="none"/>
        </w:rPr>
      </w:pPr>
      <w:r>
        <w:rPr>
          <w:rFonts w:hint="eastAsia" w:ascii="宋体" w:hAnsi="宋体"/>
          <w:color w:val="000000"/>
          <w:szCs w:val="21"/>
          <w:highlight w:val="none"/>
        </w:rPr>
        <w:t>1.投标人根据招标文件业绩部分评分标准仔细填写，并填写页码，已供评标</w:t>
      </w:r>
      <w:r>
        <w:rPr>
          <w:rFonts w:hint="eastAsia" w:ascii="宋体" w:hAnsi="宋体"/>
          <w:color w:val="000000"/>
          <w:szCs w:val="21"/>
          <w:highlight w:val="none"/>
          <w:lang w:val="en-US" w:eastAsia="zh-CN"/>
        </w:rPr>
        <w:t>专家</w:t>
      </w:r>
      <w:r>
        <w:rPr>
          <w:rFonts w:hint="eastAsia" w:ascii="宋体" w:hAnsi="宋体"/>
          <w:color w:val="000000"/>
          <w:szCs w:val="21"/>
          <w:highlight w:val="none"/>
        </w:rPr>
        <w:t>查验；</w:t>
      </w:r>
    </w:p>
    <w:p w14:paraId="6EE47848">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宋体" w:hAnsi="宋体"/>
          <w:color w:val="000000"/>
          <w:szCs w:val="21"/>
          <w:highlight w:val="none"/>
        </w:rPr>
      </w:pPr>
      <w:r>
        <w:rPr>
          <w:rFonts w:hint="eastAsia" w:ascii="宋体" w:hAnsi="宋体"/>
          <w:color w:val="000000"/>
          <w:szCs w:val="21"/>
          <w:highlight w:val="none"/>
        </w:rPr>
        <w:t>2.上述业绩必须为真实有效，如发现业绩不符，投标人3年内不得参与招标人的其他采购项目，本次投标作废标处理</w:t>
      </w:r>
      <w:r>
        <w:rPr>
          <w:rFonts w:hint="eastAsia" w:ascii="宋体" w:hAnsi="宋体"/>
          <w:color w:val="000000"/>
          <w:szCs w:val="21"/>
          <w:highlight w:val="none"/>
          <w:lang w:eastAsia="zh-CN"/>
        </w:rPr>
        <w:t>。</w:t>
      </w:r>
    </w:p>
    <w:p w14:paraId="348018BF">
      <w:pPr>
        <w:keepNext w:val="0"/>
        <w:keepLines w:val="0"/>
        <w:pageBreakBefore w:val="0"/>
        <w:widowControl w:val="0"/>
        <w:kinsoku/>
        <w:wordWrap/>
        <w:overflowPunct/>
        <w:topLinePunct w:val="0"/>
        <w:autoSpaceDE w:val="0"/>
        <w:autoSpaceDN w:val="0"/>
        <w:bidi w:val="0"/>
        <w:adjustRightInd w:val="0"/>
        <w:snapToGrid w:val="0"/>
        <w:ind w:firstLine="420" w:firstLineChars="200"/>
        <w:textAlignment w:val="auto"/>
        <w:rPr>
          <w:rFonts w:ascii="宋体" w:hAnsi="宋体"/>
          <w:color w:val="000000"/>
          <w:szCs w:val="21"/>
          <w:highlight w:val="none"/>
        </w:rPr>
      </w:pPr>
      <w:r>
        <w:rPr>
          <w:rFonts w:hint="eastAsia"/>
          <w:highlight w:val="none"/>
        </w:rPr>
        <w:t>3</w:t>
      </w:r>
      <w:r>
        <w:rPr>
          <w:rFonts w:hint="eastAsia" w:ascii="宋体" w:hAnsi="宋体"/>
          <w:color w:val="000000"/>
          <w:szCs w:val="21"/>
          <w:highlight w:val="none"/>
        </w:rPr>
        <w:t>.证明材料附在本表后即可。</w:t>
      </w:r>
    </w:p>
    <w:p w14:paraId="2D3EAD19">
      <w:pPr>
        <w:pStyle w:val="4"/>
        <w:pageBreakBefore w:val="0"/>
        <w:kinsoku/>
        <w:overflowPunct/>
        <w:topLinePunct w:val="0"/>
        <w:autoSpaceDE/>
        <w:autoSpaceDN/>
        <w:bidi w:val="0"/>
        <w:spacing w:line="240" w:lineRule="auto"/>
        <w:ind w:firstLine="0" w:firstLineChars="0"/>
        <w:jc w:val="left"/>
        <w:rPr>
          <w:rFonts w:hint="eastAsia" w:ascii="仿宋" w:hAnsi="仿宋" w:eastAsia="仿宋" w:cs="仿宋"/>
          <w:b/>
          <w:bCs w:val="0"/>
          <w:sz w:val="21"/>
          <w:szCs w:val="21"/>
          <w:highlight w:val="none"/>
          <w:lang w:val="zh-CN"/>
        </w:rPr>
      </w:pPr>
    </w:p>
    <w:p w14:paraId="060FB6B1">
      <w:pPr>
        <w:rPr>
          <w:rFonts w:hint="eastAsia"/>
          <w:highlight w:val="none"/>
        </w:rPr>
      </w:pPr>
    </w:p>
    <w:p w14:paraId="64E68554">
      <w:pPr>
        <w:pStyle w:val="4"/>
        <w:ind w:firstLine="0" w:firstLineChars="0"/>
        <w:jc w:val="left"/>
        <w:rPr>
          <w:rFonts w:hint="eastAsia" w:ascii="仿宋" w:hAnsi="仿宋" w:eastAsia="仿宋" w:cs="仿宋"/>
          <w:b w:val="0"/>
          <w:bCs/>
          <w:sz w:val="24"/>
          <w:szCs w:val="28"/>
          <w:highlight w:val="none"/>
        </w:rPr>
      </w:pPr>
    </w:p>
    <w:p w14:paraId="5BB22801">
      <w:pPr>
        <w:rPr>
          <w:rFonts w:hint="eastAsia"/>
          <w:highlight w:val="none"/>
        </w:rPr>
      </w:pPr>
    </w:p>
    <w:p w14:paraId="149CA4A4">
      <w:pPr>
        <w:rPr>
          <w:rFonts w:hint="eastAsia"/>
          <w:highlight w:val="none"/>
        </w:rPr>
      </w:pPr>
    </w:p>
    <w:p w14:paraId="65E36C7C">
      <w:pPr>
        <w:rPr>
          <w:rFonts w:hint="eastAsia"/>
          <w:highlight w:val="none"/>
        </w:rPr>
      </w:pPr>
    </w:p>
    <w:p w14:paraId="7FC9DD8C">
      <w:pPr>
        <w:rPr>
          <w:rFonts w:hint="eastAsia"/>
          <w:highlight w:val="none"/>
        </w:rPr>
      </w:pPr>
    </w:p>
    <w:p w14:paraId="2B70F1CA">
      <w:pPr>
        <w:rPr>
          <w:rFonts w:hint="eastAsia"/>
          <w:highlight w:val="none"/>
        </w:rPr>
      </w:pPr>
    </w:p>
    <w:p w14:paraId="0D046694">
      <w:pPr>
        <w:rPr>
          <w:rFonts w:hint="eastAsia"/>
          <w:highlight w:val="none"/>
        </w:rPr>
      </w:pPr>
    </w:p>
    <w:p w14:paraId="2689B70B">
      <w:pPr>
        <w:pStyle w:val="4"/>
        <w:ind w:firstLine="0" w:firstLineChars="0"/>
        <w:jc w:val="left"/>
        <w:rPr>
          <w:rFonts w:hint="eastAsia" w:ascii="仿宋" w:hAnsi="仿宋" w:eastAsia="仿宋" w:cs="仿宋"/>
          <w:b w:val="0"/>
          <w:bCs/>
          <w:sz w:val="24"/>
          <w:szCs w:val="28"/>
          <w:highlight w:val="none"/>
        </w:rPr>
      </w:pPr>
    </w:p>
    <w:p w14:paraId="2534BC40">
      <w:pPr>
        <w:rPr>
          <w:rFonts w:hint="eastAsia"/>
          <w:highlight w:val="none"/>
        </w:rPr>
      </w:pPr>
    </w:p>
    <w:p w14:paraId="31D092CF">
      <w:pPr>
        <w:pStyle w:val="4"/>
        <w:ind w:firstLine="0" w:firstLineChars="0"/>
        <w:jc w:val="left"/>
        <w:rPr>
          <w:rFonts w:hint="eastAsia" w:ascii="黑体" w:hAnsi="黑体" w:eastAsia="黑体" w:cs="黑体"/>
          <w:b w:val="0"/>
          <w:bCs/>
          <w:sz w:val="24"/>
          <w:szCs w:val="28"/>
          <w:highlight w:val="none"/>
        </w:rPr>
      </w:pPr>
      <w:bookmarkStart w:id="71" w:name="_Toc11014"/>
      <w:r>
        <w:rPr>
          <w:rFonts w:hint="eastAsia" w:ascii="黑体" w:hAnsi="黑体" w:eastAsia="黑体" w:cs="黑体"/>
          <w:b w:val="0"/>
          <w:bCs/>
          <w:sz w:val="24"/>
          <w:szCs w:val="28"/>
          <w:highlight w:val="none"/>
        </w:rPr>
        <w:t>格式</w:t>
      </w:r>
      <w:r>
        <w:rPr>
          <w:rFonts w:hint="eastAsia" w:ascii="黑体" w:hAnsi="黑体" w:eastAsia="黑体" w:cs="黑体"/>
          <w:b w:val="0"/>
          <w:bCs/>
          <w:sz w:val="24"/>
          <w:szCs w:val="28"/>
          <w:highlight w:val="none"/>
          <w:lang w:val="en-US" w:eastAsia="zh-CN"/>
        </w:rPr>
        <w:t>4</w:t>
      </w:r>
      <w:r>
        <w:rPr>
          <w:rFonts w:hint="eastAsia" w:ascii="黑体" w:hAnsi="黑体" w:eastAsia="黑体" w:cs="黑体"/>
          <w:b w:val="0"/>
          <w:bCs/>
          <w:sz w:val="24"/>
          <w:szCs w:val="28"/>
          <w:highlight w:val="none"/>
        </w:rPr>
        <w:t>: 体检套餐及项目清单</w:t>
      </w:r>
      <w:bookmarkEnd w:id="71"/>
    </w:p>
    <w:p w14:paraId="370E29B0">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说明：</w:t>
      </w:r>
    </w:p>
    <w:p w14:paraId="7B9D3572">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b/>
          <w:bCs/>
          <w:color w:val="000000"/>
          <w:kern w:val="0"/>
          <w:sz w:val="24"/>
          <w:szCs w:val="24"/>
          <w:highlight w:val="none"/>
          <w:lang w:val="en-US" w:eastAsia="zh-CN"/>
        </w:rPr>
        <w:t>1.投标人可根据本表所示基准项目上自行增加或提出更优方案，不得擅自减少、变更本表基准项目内容或降低标准，投标人仅接受优于项目表的项目清单，否则将导致投标无效</w:t>
      </w:r>
      <w:r>
        <w:rPr>
          <w:rFonts w:hint="eastAsia" w:ascii="仿宋_GB2312" w:hAnsi="仿宋_GB2312" w:eastAsia="仿宋_GB2312" w:cs="仿宋_GB2312"/>
          <w:b/>
          <w:bCs/>
          <w:color w:val="000000"/>
          <w:kern w:val="0"/>
          <w:sz w:val="24"/>
          <w:szCs w:val="24"/>
          <w:highlight w:val="none"/>
        </w:rPr>
        <w:t>；</w:t>
      </w:r>
    </w:p>
    <w:p w14:paraId="0D7DD279">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bCs/>
          <w:color w:val="000000"/>
          <w:kern w:val="0"/>
          <w:sz w:val="24"/>
          <w:szCs w:val="24"/>
          <w:highlight w:val="none"/>
          <w:lang w:eastAsia="zh-CN"/>
        </w:rPr>
      </w:pPr>
      <w:r>
        <w:rPr>
          <w:rFonts w:hint="eastAsia" w:ascii="仿宋_GB2312" w:hAnsi="仿宋_GB2312" w:eastAsia="仿宋_GB2312" w:cs="仿宋_GB2312"/>
          <w:b/>
          <w:bCs/>
          <w:color w:val="000000"/>
          <w:kern w:val="0"/>
          <w:sz w:val="24"/>
          <w:szCs w:val="24"/>
          <w:highlight w:val="none"/>
          <w:lang w:val="en-US" w:eastAsia="zh-CN"/>
        </w:rPr>
        <w:t>2.</w:t>
      </w:r>
      <w:r>
        <w:rPr>
          <w:rFonts w:hint="eastAsia" w:ascii="仿宋_GB2312" w:hAnsi="仿宋_GB2312" w:eastAsia="仿宋_GB2312" w:cs="仿宋_GB2312"/>
          <w:b/>
          <w:bCs/>
          <w:color w:val="000000"/>
          <w:kern w:val="0"/>
          <w:sz w:val="24"/>
          <w:szCs w:val="24"/>
          <w:highlight w:val="none"/>
        </w:rPr>
        <w:t>招标人认可报价文件与本表所承诺的服务（包括服务优化承诺）一致，如内容不一致的，按有利于招标人及招标人外派员工利益的理解执行</w:t>
      </w:r>
      <w:r>
        <w:rPr>
          <w:rFonts w:hint="eastAsia" w:ascii="仿宋_GB2312" w:hAnsi="仿宋_GB2312" w:eastAsia="仿宋_GB2312" w:cs="仿宋_GB2312"/>
          <w:b/>
          <w:bCs/>
          <w:color w:val="000000"/>
          <w:kern w:val="0"/>
          <w:sz w:val="24"/>
          <w:szCs w:val="24"/>
          <w:highlight w:val="none"/>
          <w:lang w:eastAsia="zh-CN"/>
        </w:rPr>
        <w:t>；</w:t>
      </w:r>
    </w:p>
    <w:p w14:paraId="2BBE7E04">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highlight w:val="none"/>
          <w:lang w:eastAsia="zh-CN"/>
        </w:rPr>
      </w:pPr>
      <w:r>
        <w:rPr>
          <w:rFonts w:hint="eastAsia" w:ascii="仿宋_GB2312" w:hAnsi="仿宋_GB2312" w:eastAsia="仿宋_GB2312" w:cs="仿宋_GB2312"/>
          <w:color w:val="000000"/>
          <w:kern w:val="0"/>
          <w:sz w:val="24"/>
          <w:szCs w:val="24"/>
          <w:highlight w:val="none"/>
          <w:lang w:val="en-US" w:eastAsia="zh-CN"/>
        </w:rPr>
        <w:t>4</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投</w:t>
      </w:r>
      <w:r>
        <w:rPr>
          <w:rFonts w:hint="eastAsia" w:ascii="仿宋_GB2312" w:hAnsi="仿宋_GB2312" w:eastAsia="仿宋_GB2312" w:cs="仿宋_GB2312"/>
          <w:color w:val="000000"/>
          <w:kern w:val="0"/>
          <w:sz w:val="24"/>
          <w:szCs w:val="24"/>
          <w:highlight w:val="none"/>
        </w:rPr>
        <w:t>标人在基准项目要求外</w:t>
      </w:r>
      <w:r>
        <w:rPr>
          <w:rFonts w:hint="eastAsia" w:ascii="仿宋_GB2312" w:hAnsi="仿宋_GB2312" w:eastAsia="仿宋_GB2312" w:cs="仿宋_GB2312"/>
          <w:color w:val="000000"/>
          <w:kern w:val="0"/>
          <w:sz w:val="24"/>
          <w:szCs w:val="24"/>
          <w:highlight w:val="none"/>
          <w:lang w:val="en-US" w:eastAsia="zh-CN"/>
        </w:rPr>
        <w:t>可以</w:t>
      </w:r>
      <w:r>
        <w:rPr>
          <w:rFonts w:hint="eastAsia" w:ascii="仿宋_GB2312" w:hAnsi="仿宋_GB2312" w:eastAsia="仿宋_GB2312" w:cs="仿宋_GB2312"/>
          <w:color w:val="000000"/>
          <w:kern w:val="0"/>
          <w:sz w:val="24"/>
          <w:szCs w:val="24"/>
          <w:highlight w:val="none"/>
        </w:rPr>
        <w:t>增加体检项目的，按本表格式于“增加项目”后</w:t>
      </w:r>
      <w:r>
        <w:rPr>
          <w:rFonts w:hint="eastAsia" w:ascii="仿宋_GB2312" w:hAnsi="仿宋_GB2312" w:eastAsia="仿宋_GB2312" w:cs="仿宋_GB2312"/>
          <w:color w:val="000000"/>
          <w:kern w:val="0"/>
          <w:sz w:val="24"/>
          <w:szCs w:val="24"/>
          <w:highlight w:val="none"/>
          <w:lang w:val="en-US" w:eastAsia="zh-CN"/>
        </w:rPr>
        <w:t>自行</w:t>
      </w:r>
      <w:r>
        <w:rPr>
          <w:rFonts w:hint="eastAsia" w:ascii="仿宋_GB2312" w:hAnsi="仿宋_GB2312" w:eastAsia="仿宋_GB2312" w:cs="仿宋_GB2312"/>
          <w:color w:val="000000"/>
          <w:kern w:val="0"/>
          <w:sz w:val="24"/>
          <w:szCs w:val="24"/>
          <w:highlight w:val="none"/>
        </w:rPr>
        <w:t>按序列示</w:t>
      </w:r>
      <w:r>
        <w:rPr>
          <w:rFonts w:hint="eastAsia" w:ascii="仿宋_GB2312" w:hAnsi="仿宋_GB2312" w:eastAsia="仿宋_GB2312" w:cs="仿宋_GB2312"/>
          <w:color w:val="000000"/>
          <w:kern w:val="0"/>
          <w:sz w:val="24"/>
          <w:szCs w:val="24"/>
          <w:highlight w:val="none"/>
          <w:lang w:eastAsia="zh-CN"/>
        </w:rPr>
        <w:t>；</w:t>
      </w:r>
    </w:p>
    <w:p w14:paraId="4CB53B5A">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5</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投</w:t>
      </w:r>
      <w:r>
        <w:rPr>
          <w:rFonts w:hint="eastAsia" w:ascii="仿宋_GB2312" w:hAnsi="仿宋_GB2312" w:eastAsia="仿宋_GB2312" w:cs="仿宋_GB2312"/>
          <w:color w:val="000000"/>
          <w:kern w:val="0"/>
          <w:sz w:val="24"/>
          <w:szCs w:val="24"/>
          <w:highlight w:val="none"/>
        </w:rPr>
        <w:t>标人在检查方式、设备、手段上提供优于基准项目要求的，</w:t>
      </w:r>
      <w:r>
        <w:rPr>
          <w:rFonts w:hint="eastAsia" w:ascii="仿宋_GB2312" w:hAnsi="仿宋_GB2312" w:eastAsia="仿宋_GB2312" w:cs="仿宋_GB2312"/>
          <w:color w:val="000000"/>
          <w:kern w:val="0"/>
          <w:sz w:val="24"/>
          <w:szCs w:val="24"/>
          <w:highlight w:val="none"/>
          <w:lang w:val="en-US" w:eastAsia="zh-CN"/>
        </w:rPr>
        <w:t>投标人可</w:t>
      </w:r>
      <w:r>
        <w:rPr>
          <w:rFonts w:hint="eastAsia" w:ascii="仿宋_GB2312" w:hAnsi="仿宋_GB2312" w:eastAsia="仿宋_GB2312" w:cs="仿宋_GB2312"/>
          <w:color w:val="000000"/>
          <w:kern w:val="0"/>
          <w:sz w:val="24"/>
          <w:szCs w:val="24"/>
          <w:highlight w:val="none"/>
        </w:rPr>
        <w:t>在“基准项目提升优化说明”栏</w:t>
      </w:r>
      <w:r>
        <w:rPr>
          <w:rFonts w:hint="eastAsia" w:ascii="仿宋_GB2312" w:hAnsi="仿宋_GB2312" w:eastAsia="仿宋_GB2312" w:cs="仿宋_GB2312"/>
          <w:color w:val="000000"/>
          <w:kern w:val="0"/>
          <w:sz w:val="24"/>
          <w:szCs w:val="24"/>
          <w:highlight w:val="none"/>
          <w:lang w:val="en-US" w:eastAsia="zh-CN"/>
        </w:rPr>
        <w:t>中以简洁通俗的语言进行</w:t>
      </w:r>
      <w:r>
        <w:rPr>
          <w:rFonts w:hint="eastAsia" w:ascii="仿宋_GB2312" w:hAnsi="仿宋_GB2312" w:eastAsia="仿宋_GB2312" w:cs="仿宋_GB2312"/>
          <w:color w:val="000000"/>
          <w:kern w:val="0"/>
          <w:sz w:val="24"/>
          <w:szCs w:val="24"/>
          <w:highlight w:val="none"/>
        </w:rPr>
        <w:t>列示说明</w:t>
      </w: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以便招标人了解对该项优化的具体内容</w:t>
      </w:r>
      <w:r>
        <w:rPr>
          <w:rFonts w:hint="eastAsia" w:ascii="仿宋_GB2312" w:hAnsi="仿宋_GB2312" w:eastAsia="仿宋_GB2312" w:cs="仿宋_GB2312"/>
          <w:color w:val="000000"/>
          <w:kern w:val="0"/>
          <w:sz w:val="24"/>
          <w:szCs w:val="24"/>
          <w:highlight w:val="none"/>
        </w:rPr>
        <w:t>；</w:t>
      </w:r>
    </w:p>
    <w:p w14:paraId="2ED044EC">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b/>
          <w:bCs/>
          <w:color w:val="000000"/>
          <w:kern w:val="0"/>
          <w:sz w:val="24"/>
          <w:szCs w:val="24"/>
          <w:highlight w:val="none"/>
        </w:rPr>
      </w:pPr>
      <w:r>
        <w:rPr>
          <w:rFonts w:hint="eastAsia" w:ascii="仿宋_GB2312" w:hAnsi="仿宋_GB2312" w:eastAsia="仿宋_GB2312" w:cs="仿宋_GB2312"/>
          <w:color w:val="000000"/>
          <w:kern w:val="0"/>
          <w:sz w:val="24"/>
          <w:szCs w:val="24"/>
          <w:highlight w:val="none"/>
          <w:lang w:val="en-US" w:eastAsia="zh-CN"/>
        </w:rPr>
        <w:t>6</w:t>
      </w:r>
      <w:r>
        <w:rPr>
          <w:rFonts w:hint="eastAsia" w:ascii="仿宋_GB2312" w:hAnsi="仿宋_GB2312" w:eastAsia="仿宋_GB2312" w:cs="仿宋_GB2312"/>
          <w:color w:val="000000"/>
          <w:kern w:val="0"/>
          <w:sz w:val="24"/>
          <w:szCs w:val="24"/>
          <w:highlight w:val="none"/>
        </w:rPr>
        <w:t>.</w:t>
      </w:r>
      <w:r>
        <w:rPr>
          <w:rFonts w:hint="eastAsia" w:ascii="仿宋_GB2312" w:hAnsi="仿宋_GB2312" w:eastAsia="仿宋_GB2312" w:cs="仿宋_GB2312"/>
          <w:color w:val="000000"/>
          <w:kern w:val="0"/>
          <w:sz w:val="24"/>
          <w:szCs w:val="24"/>
          <w:highlight w:val="none"/>
          <w:lang w:val="en-US" w:eastAsia="zh-CN"/>
        </w:rPr>
        <w:t>投</w:t>
      </w:r>
      <w:r>
        <w:rPr>
          <w:rFonts w:hint="eastAsia" w:ascii="仿宋_GB2312" w:hAnsi="仿宋_GB2312" w:eastAsia="仿宋_GB2312" w:cs="仿宋_GB2312"/>
          <w:color w:val="000000"/>
          <w:kern w:val="0"/>
          <w:sz w:val="24"/>
          <w:szCs w:val="24"/>
          <w:highlight w:val="none"/>
        </w:rPr>
        <w:t>标人应于投标文件服务方案内提交本表</w:t>
      </w:r>
      <w:r>
        <w:rPr>
          <w:rFonts w:hint="eastAsia" w:ascii="仿宋_GB2312" w:hAnsi="仿宋_GB2312" w:eastAsia="仿宋_GB2312" w:cs="仿宋_GB2312"/>
          <w:color w:val="000000"/>
          <w:kern w:val="0"/>
          <w:sz w:val="24"/>
          <w:szCs w:val="24"/>
          <w:highlight w:val="none"/>
          <w:lang w:eastAsia="zh-CN"/>
        </w:rPr>
        <w:t>。</w:t>
      </w:r>
    </w:p>
    <w:p w14:paraId="4DA48182">
      <w:pPr>
        <w:rPr>
          <w:rFonts w:hint="eastAsia" w:ascii="黑体" w:hAnsi="黑体" w:eastAsia="黑体" w:cs="黑体"/>
          <w:b w:val="0"/>
          <w:bCs/>
          <w:sz w:val="24"/>
          <w:szCs w:val="28"/>
          <w:highlight w:val="none"/>
        </w:rPr>
      </w:pPr>
      <w:r>
        <w:rPr>
          <w:rFonts w:hint="eastAsia" w:ascii="黑体" w:hAnsi="黑体" w:eastAsia="黑体" w:cs="黑体"/>
          <w:b w:val="0"/>
          <w:bCs/>
          <w:sz w:val="24"/>
          <w:szCs w:val="28"/>
          <w:highlight w:val="none"/>
          <w:lang w:val="en-US" w:eastAsia="zh-CN"/>
        </w:rPr>
        <w:t>一、体检</w:t>
      </w:r>
      <w:r>
        <w:rPr>
          <w:rFonts w:hint="eastAsia" w:ascii="黑体" w:hAnsi="黑体" w:eastAsia="黑体" w:cs="黑体"/>
          <w:b w:val="0"/>
          <w:bCs/>
          <w:sz w:val="24"/>
          <w:szCs w:val="28"/>
          <w:highlight w:val="none"/>
        </w:rPr>
        <w:t>套餐（限价不超过390元/人）</w:t>
      </w:r>
    </w:p>
    <w:bookmarkEnd w:id="67"/>
    <w:bookmarkEnd w:id="68"/>
    <w:bookmarkEnd w:id="69"/>
    <w:bookmarkEnd w:id="70"/>
    <w:tbl>
      <w:tblPr>
        <w:tblStyle w:val="15"/>
        <w:tblW w:w="983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5"/>
        <w:gridCol w:w="1771"/>
        <w:gridCol w:w="3888"/>
        <w:gridCol w:w="1644"/>
        <w:gridCol w:w="1806"/>
      </w:tblGrid>
      <w:tr w14:paraId="3CA84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dxa"/>
            <w:tcBorders>
              <w:top w:val="single" w:color="000000" w:sz="12" w:space="0"/>
              <w:left w:val="single" w:color="000000" w:sz="12" w:space="0"/>
              <w:bottom w:val="single" w:color="000000" w:sz="4" w:space="0"/>
              <w:right w:val="single" w:color="000000" w:sz="4" w:space="0"/>
            </w:tcBorders>
            <w:shd w:val="clear" w:color="auto" w:fill="auto"/>
            <w:vAlign w:val="center"/>
          </w:tcPr>
          <w:p w14:paraId="0C0B61B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bookmarkStart w:id="72" w:name="_Toc32462"/>
            <w:r>
              <w:rPr>
                <w:rFonts w:hint="eastAsia" w:ascii="宋体" w:hAnsi="宋体" w:eastAsia="宋体" w:cs="宋体"/>
                <w:b/>
                <w:bCs/>
                <w:i w:val="0"/>
                <w:iCs w:val="0"/>
                <w:color w:val="000000"/>
                <w:kern w:val="0"/>
                <w:sz w:val="21"/>
                <w:szCs w:val="21"/>
                <w:highlight w:val="none"/>
                <w:u w:val="none"/>
                <w:lang w:val="en-US" w:eastAsia="zh-CN" w:bidi="ar"/>
              </w:rPr>
              <w:t>序号</w:t>
            </w:r>
          </w:p>
        </w:tc>
        <w:tc>
          <w:tcPr>
            <w:tcW w:w="1771"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326DC3CD">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检查大类</w:t>
            </w:r>
          </w:p>
        </w:tc>
        <w:tc>
          <w:tcPr>
            <w:tcW w:w="3888"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5CC36A9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基准项目</w:t>
            </w:r>
          </w:p>
        </w:tc>
        <w:tc>
          <w:tcPr>
            <w:tcW w:w="1644" w:type="dxa"/>
            <w:tcBorders>
              <w:top w:val="single" w:color="000000" w:sz="12" w:space="0"/>
              <w:left w:val="single" w:color="000000" w:sz="4" w:space="0"/>
              <w:bottom w:val="single" w:color="000000" w:sz="4" w:space="0"/>
              <w:right w:val="single" w:color="000000" w:sz="4" w:space="0"/>
            </w:tcBorders>
            <w:shd w:val="clear" w:color="auto" w:fill="auto"/>
            <w:vAlign w:val="center"/>
          </w:tcPr>
          <w:p w14:paraId="74492C5B">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检查目的</w:t>
            </w:r>
          </w:p>
        </w:tc>
        <w:tc>
          <w:tcPr>
            <w:tcW w:w="1806" w:type="dxa"/>
            <w:tcBorders>
              <w:top w:val="single" w:color="000000" w:sz="12" w:space="0"/>
              <w:left w:val="single" w:color="000000" w:sz="4" w:space="0"/>
              <w:bottom w:val="single" w:color="000000" w:sz="4" w:space="0"/>
              <w:right w:val="single" w:color="000000" w:sz="12" w:space="0"/>
            </w:tcBorders>
            <w:shd w:val="clear" w:color="auto" w:fill="auto"/>
            <w:vAlign w:val="center"/>
          </w:tcPr>
          <w:p w14:paraId="5751F21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基准项目提升优化说明</w:t>
            </w:r>
          </w:p>
        </w:tc>
      </w:tr>
      <w:tr w14:paraId="57C0F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DD53F1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453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一般检查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7C5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身高、体重</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D33D6">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02F6646">
            <w:pPr>
              <w:jc w:val="center"/>
              <w:rPr>
                <w:rFonts w:hint="eastAsia" w:ascii="宋体" w:hAnsi="宋体" w:eastAsia="宋体" w:cs="宋体"/>
                <w:i w:val="0"/>
                <w:iCs w:val="0"/>
                <w:color w:val="000000"/>
                <w:sz w:val="21"/>
                <w:szCs w:val="21"/>
                <w:highlight w:val="none"/>
                <w:u w:val="none"/>
              </w:rPr>
            </w:pPr>
          </w:p>
        </w:tc>
      </w:tr>
      <w:tr w14:paraId="11ED4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83FD9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9AD910">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52D7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血压</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09C2">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DE7C34E">
            <w:pPr>
              <w:jc w:val="center"/>
              <w:rPr>
                <w:rFonts w:hint="eastAsia" w:ascii="宋体" w:hAnsi="宋体" w:eastAsia="宋体" w:cs="宋体"/>
                <w:i w:val="0"/>
                <w:iCs w:val="0"/>
                <w:color w:val="000000"/>
                <w:sz w:val="21"/>
                <w:szCs w:val="21"/>
                <w:highlight w:val="none"/>
                <w:u w:val="none"/>
              </w:rPr>
            </w:pPr>
          </w:p>
        </w:tc>
      </w:tr>
      <w:tr w14:paraId="4D9F7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AB8F1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26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073A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4D055">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AF293DE">
            <w:pPr>
              <w:jc w:val="center"/>
              <w:rPr>
                <w:rFonts w:hint="eastAsia" w:ascii="宋体" w:hAnsi="宋体" w:eastAsia="宋体" w:cs="宋体"/>
                <w:i w:val="0"/>
                <w:iCs w:val="0"/>
                <w:color w:val="000000"/>
                <w:sz w:val="21"/>
                <w:szCs w:val="21"/>
                <w:highlight w:val="none"/>
                <w:u w:val="none"/>
              </w:rPr>
            </w:pPr>
          </w:p>
        </w:tc>
      </w:tr>
      <w:tr w14:paraId="39999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CF823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828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AC86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11A5">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9AAFC2B">
            <w:pPr>
              <w:jc w:val="center"/>
              <w:rPr>
                <w:rFonts w:hint="eastAsia" w:ascii="宋体" w:hAnsi="宋体" w:eastAsia="宋体" w:cs="宋体"/>
                <w:i w:val="0"/>
                <w:iCs w:val="0"/>
                <w:color w:val="000000"/>
                <w:sz w:val="21"/>
                <w:szCs w:val="21"/>
                <w:highlight w:val="none"/>
                <w:u w:val="none"/>
              </w:rPr>
            </w:pPr>
          </w:p>
        </w:tc>
      </w:tr>
      <w:tr w14:paraId="380A7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428B9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B1C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7D33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27849">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BE22FAD">
            <w:pPr>
              <w:jc w:val="center"/>
              <w:rPr>
                <w:rFonts w:hint="eastAsia" w:ascii="宋体" w:hAnsi="宋体" w:eastAsia="宋体" w:cs="宋体"/>
                <w:i w:val="0"/>
                <w:iCs w:val="0"/>
                <w:color w:val="000000"/>
                <w:sz w:val="21"/>
                <w:szCs w:val="21"/>
                <w:highlight w:val="none"/>
                <w:u w:val="none"/>
              </w:rPr>
            </w:pPr>
          </w:p>
        </w:tc>
      </w:tr>
      <w:tr w14:paraId="49A26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B6650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84D6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88A7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71433">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8D1D7BE">
            <w:pPr>
              <w:jc w:val="center"/>
              <w:rPr>
                <w:rFonts w:hint="eastAsia" w:ascii="宋体" w:hAnsi="宋体" w:eastAsia="宋体" w:cs="宋体"/>
                <w:i w:val="0"/>
                <w:iCs w:val="0"/>
                <w:color w:val="000000"/>
                <w:sz w:val="21"/>
                <w:szCs w:val="21"/>
                <w:highlight w:val="none"/>
                <w:u w:val="none"/>
              </w:rPr>
            </w:pPr>
          </w:p>
        </w:tc>
      </w:tr>
      <w:tr w14:paraId="1E394C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4EB50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A6D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口腔科</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10C2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口腔常规检查，全面了解口腔健康状况，及时发现口腔科常见疾病。</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C8117">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8D366C2">
            <w:pPr>
              <w:jc w:val="center"/>
              <w:rPr>
                <w:rFonts w:hint="eastAsia" w:ascii="宋体" w:hAnsi="宋体" w:eastAsia="宋体" w:cs="宋体"/>
                <w:i w:val="0"/>
                <w:iCs w:val="0"/>
                <w:color w:val="000000"/>
                <w:sz w:val="21"/>
                <w:szCs w:val="21"/>
                <w:highlight w:val="none"/>
                <w:u w:val="none"/>
              </w:rPr>
            </w:pPr>
          </w:p>
        </w:tc>
      </w:tr>
      <w:tr w14:paraId="7D60A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82F16C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32BC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肝功能七项</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1FC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丙氨酸氨基转移酶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(ALT) \ </w:t>
            </w:r>
            <w:r>
              <w:rPr>
                <w:rFonts w:hint="eastAsia" w:ascii="宋体" w:hAnsi="宋体" w:eastAsia="宋体" w:cs="宋体"/>
                <w:i w:val="0"/>
                <w:iCs w:val="0"/>
                <w:color w:val="000000"/>
                <w:kern w:val="0"/>
                <w:sz w:val="21"/>
                <w:szCs w:val="21"/>
                <w:highlight w:val="none"/>
                <w:u w:val="none"/>
                <w:lang w:val="en-US" w:eastAsia="zh-CN" w:bidi="ar"/>
              </w:rPr>
              <w:t>天门冬氨酸氨基转移酶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(AST) \ </w:t>
            </w:r>
            <w:r>
              <w:rPr>
                <w:rFonts w:hint="eastAsia" w:ascii="宋体" w:hAnsi="宋体" w:eastAsia="宋体" w:cs="宋体"/>
                <w:i w:val="0"/>
                <w:iCs w:val="0"/>
                <w:color w:val="000000"/>
                <w:kern w:val="0"/>
                <w:sz w:val="21"/>
                <w:szCs w:val="21"/>
                <w:highlight w:val="none"/>
                <w:u w:val="none"/>
                <w:lang w:val="en-US" w:eastAsia="zh-CN" w:bidi="ar"/>
              </w:rPr>
              <w:t>谷氨酰转肽酶</w:t>
            </w:r>
            <w:r>
              <w:rPr>
                <w:rFonts w:hint="default" w:ascii="Times New Roman" w:hAnsi="Times New Roman" w:eastAsia="宋体" w:cs="Times New Roman"/>
                <w:i w:val="0"/>
                <w:iCs w:val="0"/>
                <w:color w:val="000000"/>
                <w:kern w:val="0"/>
                <w:sz w:val="21"/>
                <w:szCs w:val="21"/>
                <w:highlight w:val="none"/>
                <w:u w:val="none"/>
                <w:lang w:val="en-US" w:eastAsia="zh-CN" w:bidi="ar"/>
              </w:rPr>
              <w:t>(GGT)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541B2">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CA4D9A7">
            <w:pPr>
              <w:jc w:val="center"/>
              <w:rPr>
                <w:rFonts w:hint="eastAsia" w:ascii="宋体" w:hAnsi="宋体" w:eastAsia="宋体" w:cs="宋体"/>
                <w:i w:val="0"/>
                <w:iCs w:val="0"/>
                <w:color w:val="000000"/>
                <w:sz w:val="21"/>
                <w:szCs w:val="21"/>
                <w:highlight w:val="none"/>
                <w:u w:val="none"/>
              </w:rPr>
            </w:pPr>
          </w:p>
        </w:tc>
      </w:tr>
      <w:tr w14:paraId="259C2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28BA0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BEEF7">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494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血清蛋白四项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F944">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E0F416">
            <w:pPr>
              <w:jc w:val="center"/>
              <w:rPr>
                <w:rFonts w:hint="eastAsia" w:ascii="宋体" w:hAnsi="宋体" w:eastAsia="宋体" w:cs="宋体"/>
                <w:i w:val="0"/>
                <w:iCs w:val="0"/>
                <w:color w:val="000000"/>
                <w:sz w:val="21"/>
                <w:szCs w:val="21"/>
                <w:highlight w:val="none"/>
                <w:u w:val="none"/>
              </w:rPr>
            </w:pPr>
          </w:p>
        </w:tc>
      </w:tr>
      <w:tr w14:paraId="29F7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D056EF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1AB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肾功能三项</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94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尿素氮</w:t>
            </w:r>
            <w:r>
              <w:rPr>
                <w:rFonts w:hint="default" w:ascii="Times New Roman" w:hAnsi="Times New Roman" w:eastAsia="宋体" w:cs="Times New Roman"/>
                <w:i w:val="0"/>
                <w:iCs w:val="0"/>
                <w:color w:val="000000"/>
                <w:kern w:val="0"/>
                <w:sz w:val="21"/>
                <w:szCs w:val="21"/>
                <w:highlight w:val="none"/>
                <w:u w:val="none"/>
                <w:lang w:val="en-US" w:eastAsia="zh-CN" w:bidi="ar"/>
              </w:rPr>
              <w:t>(BUN)</w:t>
            </w:r>
            <w:r>
              <w:rPr>
                <w:rFonts w:hint="eastAsia" w:ascii="宋体" w:hAnsi="宋体" w:eastAsia="宋体" w:cs="宋体"/>
                <w:i w:val="0"/>
                <w:iCs w:val="0"/>
                <w:color w:val="000000"/>
                <w:kern w:val="0"/>
                <w:sz w:val="21"/>
                <w:szCs w:val="21"/>
                <w:highlight w:val="none"/>
                <w:u w:val="none"/>
                <w:lang w:val="en-US" w:eastAsia="zh-CN" w:bidi="ar"/>
              </w:rPr>
              <w:t>、肌肝</w:t>
            </w:r>
            <w:r>
              <w:rPr>
                <w:rFonts w:hint="default" w:ascii="Times New Roman" w:hAnsi="Times New Roman" w:eastAsia="宋体" w:cs="Times New Roman"/>
                <w:i w:val="0"/>
                <w:iCs w:val="0"/>
                <w:color w:val="000000"/>
                <w:kern w:val="0"/>
                <w:sz w:val="21"/>
                <w:szCs w:val="21"/>
                <w:highlight w:val="none"/>
                <w:u w:val="none"/>
                <w:lang w:val="en-US" w:eastAsia="zh-CN" w:bidi="ar"/>
              </w:rPr>
              <w:t>(CR)</w:t>
            </w:r>
            <w:r>
              <w:rPr>
                <w:rFonts w:hint="eastAsia" w:ascii="宋体" w:hAnsi="宋体" w:eastAsia="宋体" w:cs="宋体"/>
                <w:i w:val="0"/>
                <w:iCs w:val="0"/>
                <w:color w:val="000000"/>
                <w:kern w:val="0"/>
                <w:sz w:val="21"/>
                <w:szCs w:val="21"/>
                <w:highlight w:val="none"/>
                <w:u w:val="none"/>
                <w:lang w:val="en-US" w:eastAsia="zh-CN" w:bidi="ar"/>
              </w:rPr>
              <w:t>、尿酸</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CDA7">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4969786">
            <w:pPr>
              <w:jc w:val="center"/>
              <w:rPr>
                <w:rFonts w:hint="eastAsia" w:ascii="宋体" w:hAnsi="宋体" w:eastAsia="宋体" w:cs="宋体"/>
                <w:i w:val="0"/>
                <w:iCs w:val="0"/>
                <w:color w:val="000000"/>
                <w:sz w:val="21"/>
                <w:szCs w:val="21"/>
                <w:highlight w:val="none"/>
                <w:u w:val="none"/>
              </w:rPr>
            </w:pPr>
          </w:p>
        </w:tc>
      </w:tr>
      <w:tr w14:paraId="386C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D5D03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81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血脂两项</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905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总胆固醇、甘油三脂</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EEABA">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35312D0">
            <w:pPr>
              <w:jc w:val="center"/>
              <w:rPr>
                <w:rFonts w:hint="eastAsia" w:ascii="宋体" w:hAnsi="宋体" w:eastAsia="宋体" w:cs="宋体"/>
                <w:i w:val="0"/>
                <w:iCs w:val="0"/>
                <w:color w:val="000000"/>
                <w:sz w:val="21"/>
                <w:szCs w:val="21"/>
                <w:highlight w:val="none"/>
                <w:u w:val="none"/>
              </w:rPr>
            </w:pPr>
          </w:p>
        </w:tc>
      </w:tr>
      <w:tr w14:paraId="0B1A5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05A77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B84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EE3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E1FA8">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721883">
            <w:pPr>
              <w:jc w:val="center"/>
              <w:rPr>
                <w:rFonts w:hint="eastAsia" w:ascii="宋体" w:hAnsi="宋体" w:eastAsia="宋体" w:cs="宋体"/>
                <w:i w:val="0"/>
                <w:iCs w:val="0"/>
                <w:color w:val="000000"/>
                <w:sz w:val="21"/>
                <w:szCs w:val="21"/>
                <w:highlight w:val="none"/>
                <w:u w:val="none"/>
              </w:rPr>
            </w:pPr>
          </w:p>
        </w:tc>
      </w:tr>
      <w:tr w14:paraId="670B7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49EEF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DA7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血糖</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322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空腹血糖</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AAF0B">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1F618E4">
            <w:pPr>
              <w:jc w:val="center"/>
              <w:rPr>
                <w:rFonts w:hint="eastAsia" w:ascii="宋体" w:hAnsi="宋体" w:eastAsia="宋体" w:cs="宋体"/>
                <w:i w:val="0"/>
                <w:iCs w:val="0"/>
                <w:color w:val="000000"/>
                <w:sz w:val="21"/>
                <w:szCs w:val="21"/>
                <w:highlight w:val="none"/>
                <w:u w:val="none"/>
              </w:rPr>
            </w:pPr>
          </w:p>
        </w:tc>
      </w:tr>
      <w:tr w14:paraId="7510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0C7BD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B523E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肿瘤筛查七项</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6E0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癌胚抗原</w:t>
            </w:r>
            <w:r>
              <w:rPr>
                <w:rFonts w:hint="default" w:ascii="Times New Roman" w:hAnsi="Times New Roman" w:eastAsia="宋体" w:cs="Times New Roman"/>
                <w:i w:val="0"/>
                <w:iCs w:val="0"/>
                <w:color w:val="000000"/>
                <w:kern w:val="0"/>
                <w:sz w:val="21"/>
                <w:szCs w:val="21"/>
                <w:highlight w:val="none"/>
                <w:u w:val="none"/>
                <w:lang w:val="en-US" w:eastAsia="zh-CN" w:bidi="ar"/>
              </w:rPr>
              <w:t>CEA(</w:t>
            </w:r>
            <w:r>
              <w:rPr>
                <w:rFonts w:hint="eastAsia" w:ascii="宋体" w:hAnsi="宋体" w:eastAsia="宋体" w:cs="宋体"/>
                <w:i w:val="0"/>
                <w:iCs w:val="0"/>
                <w:color w:val="000000"/>
                <w:kern w:val="0"/>
                <w:sz w:val="21"/>
                <w:szCs w:val="21"/>
                <w:highlight w:val="none"/>
                <w:u w:val="none"/>
                <w:lang w:val="en-US" w:eastAsia="zh-CN" w:bidi="ar"/>
              </w:rPr>
              <w:t>定量</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E7F7">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B845753">
            <w:pPr>
              <w:jc w:val="center"/>
              <w:rPr>
                <w:rFonts w:hint="eastAsia" w:ascii="宋体" w:hAnsi="宋体" w:eastAsia="宋体" w:cs="宋体"/>
                <w:i w:val="0"/>
                <w:iCs w:val="0"/>
                <w:color w:val="000000"/>
                <w:sz w:val="21"/>
                <w:szCs w:val="21"/>
                <w:highlight w:val="none"/>
                <w:u w:val="none"/>
              </w:rPr>
            </w:pPr>
          </w:p>
        </w:tc>
      </w:tr>
      <w:tr w14:paraId="2828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BCF71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29FC8">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0250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甲胎蛋白</w:t>
            </w:r>
            <w:r>
              <w:rPr>
                <w:rFonts w:hint="default" w:ascii="Times New Roman" w:hAnsi="Times New Roman" w:eastAsia="宋体" w:cs="Times New Roman"/>
                <w:i w:val="0"/>
                <w:iCs w:val="0"/>
                <w:color w:val="000000"/>
                <w:kern w:val="0"/>
                <w:sz w:val="21"/>
                <w:szCs w:val="21"/>
                <w:highlight w:val="none"/>
                <w:u w:val="none"/>
                <w:lang w:val="en-US" w:eastAsia="zh-CN" w:bidi="ar"/>
              </w:rPr>
              <w:t>AFP</w:t>
            </w:r>
            <w:r>
              <w:rPr>
                <w:rFonts w:hint="eastAsia" w:ascii="宋体" w:hAnsi="宋体" w:eastAsia="宋体" w:cs="宋体"/>
                <w:i w:val="0"/>
                <w:iCs w:val="0"/>
                <w:color w:val="000000"/>
                <w:kern w:val="0"/>
                <w:sz w:val="21"/>
                <w:szCs w:val="21"/>
                <w:highlight w:val="none"/>
                <w:u w:val="none"/>
                <w:lang w:val="en-US" w:eastAsia="zh-CN" w:bidi="ar"/>
              </w:rPr>
              <w:t>（定量）</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47EF">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CF7AAD3">
            <w:pPr>
              <w:jc w:val="center"/>
              <w:rPr>
                <w:rFonts w:hint="eastAsia" w:ascii="宋体" w:hAnsi="宋体" w:eastAsia="宋体" w:cs="宋体"/>
                <w:i w:val="0"/>
                <w:iCs w:val="0"/>
                <w:color w:val="000000"/>
                <w:sz w:val="21"/>
                <w:szCs w:val="21"/>
                <w:highlight w:val="none"/>
                <w:u w:val="none"/>
              </w:rPr>
            </w:pPr>
          </w:p>
        </w:tc>
      </w:tr>
      <w:tr w14:paraId="5AFC8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D06502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6FE149">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ADA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242</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D8A7">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E40C4DC">
            <w:pPr>
              <w:jc w:val="center"/>
              <w:rPr>
                <w:rFonts w:hint="eastAsia" w:ascii="宋体" w:hAnsi="宋体" w:eastAsia="宋体" w:cs="宋体"/>
                <w:i w:val="0"/>
                <w:iCs w:val="0"/>
                <w:color w:val="000000"/>
                <w:sz w:val="21"/>
                <w:szCs w:val="21"/>
                <w:highlight w:val="none"/>
                <w:u w:val="none"/>
              </w:rPr>
            </w:pPr>
          </w:p>
        </w:tc>
      </w:tr>
      <w:tr w14:paraId="35A96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611B37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0C7B00">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8DA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125</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8CFA6">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2DD952">
            <w:pPr>
              <w:jc w:val="center"/>
              <w:rPr>
                <w:rFonts w:hint="eastAsia" w:ascii="宋体" w:hAnsi="宋体" w:eastAsia="宋体" w:cs="宋体"/>
                <w:i w:val="0"/>
                <w:iCs w:val="0"/>
                <w:color w:val="000000"/>
                <w:sz w:val="21"/>
                <w:szCs w:val="21"/>
                <w:highlight w:val="none"/>
                <w:u w:val="none"/>
              </w:rPr>
            </w:pPr>
          </w:p>
        </w:tc>
      </w:tr>
      <w:tr w14:paraId="63E6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8E090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435932">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37B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神经元特异性烯醇化酶</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E6CB7">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8B661D5">
            <w:pPr>
              <w:jc w:val="center"/>
              <w:rPr>
                <w:rFonts w:hint="eastAsia" w:ascii="宋体" w:hAnsi="宋体" w:eastAsia="宋体" w:cs="宋体"/>
                <w:i w:val="0"/>
                <w:iCs w:val="0"/>
                <w:color w:val="000000"/>
                <w:sz w:val="21"/>
                <w:szCs w:val="21"/>
                <w:highlight w:val="none"/>
                <w:u w:val="none"/>
              </w:rPr>
            </w:pPr>
          </w:p>
        </w:tc>
      </w:tr>
      <w:tr w14:paraId="7B6F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096066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3431AA">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CF6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人绒毛膜促性腺激素游离</w:t>
            </w:r>
            <w:r>
              <w:rPr>
                <w:rFonts w:hint="default" w:ascii="Times New Roman" w:hAnsi="Times New Roman" w:eastAsia="宋体" w:cs="Times New Roman"/>
                <w:i w:val="0"/>
                <w:iCs w:val="0"/>
                <w:color w:val="000000"/>
                <w:kern w:val="0"/>
                <w:sz w:val="21"/>
                <w:szCs w:val="21"/>
                <w:highlight w:val="none"/>
                <w:u w:val="none"/>
                <w:lang w:val="en-US" w:eastAsia="zh-CN" w:bidi="ar"/>
              </w:rPr>
              <w:t>β</w:t>
            </w:r>
            <w:r>
              <w:rPr>
                <w:rFonts w:hint="eastAsia" w:ascii="宋体" w:hAnsi="宋体" w:eastAsia="宋体" w:cs="宋体"/>
                <w:i w:val="0"/>
                <w:iCs w:val="0"/>
                <w:color w:val="000000"/>
                <w:kern w:val="0"/>
                <w:sz w:val="21"/>
                <w:szCs w:val="21"/>
                <w:highlight w:val="none"/>
                <w:u w:val="none"/>
                <w:lang w:val="en-US" w:eastAsia="zh-CN" w:bidi="ar"/>
              </w:rPr>
              <w:t>亚基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50FA">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CD177D9">
            <w:pPr>
              <w:jc w:val="center"/>
              <w:rPr>
                <w:rFonts w:hint="eastAsia" w:ascii="宋体" w:hAnsi="宋体" w:eastAsia="宋体" w:cs="宋体"/>
                <w:i w:val="0"/>
                <w:iCs w:val="0"/>
                <w:color w:val="000000"/>
                <w:sz w:val="21"/>
                <w:szCs w:val="21"/>
                <w:highlight w:val="none"/>
                <w:u w:val="none"/>
              </w:rPr>
            </w:pPr>
          </w:p>
        </w:tc>
      </w:tr>
      <w:tr w14:paraId="7710D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4516C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F6C499">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6D08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细胞角蛋白</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295C3">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AEB0FE0">
            <w:pPr>
              <w:jc w:val="center"/>
              <w:rPr>
                <w:rFonts w:hint="eastAsia" w:ascii="宋体" w:hAnsi="宋体" w:eastAsia="宋体" w:cs="宋体"/>
                <w:i w:val="0"/>
                <w:iCs w:val="0"/>
                <w:color w:val="000000"/>
                <w:sz w:val="21"/>
                <w:szCs w:val="21"/>
                <w:highlight w:val="none"/>
                <w:u w:val="none"/>
              </w:rPr>
            </w:pPr>
          </w:p>
        </w:tc>
      </w:tr>
      <w:tr w14:paraId="1C91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9B8A4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3EC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血常规</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2B9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红细胞计数</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RBC</w:t>
            </w:r>
            <w:r>
              <w:rPr>
                <w:rFonts w:hint="eastAsia" w:ascii="宋体" w:hAnsi="宋体" w:eastAsia="宋体" w:cs="宋体"/>
                <w:i w:val="0"/>
                <w:iCs w:val="0"/>
                <w:color w:val="000000"/>
                <w:kern w:val="0"/>
                <w:sz w:val="21"/>
                <w:szCs w:val="21"/>
                <w:highlight w:val="none"/>
                <w:u w:val="none"/>
                <w:lang w:val="en-US" w:eastAsia="zh-CN" w:bidi="ar"/>
              </w:rPr>
              <w:t>）、红细胞压积（</w:t>
            </w:r>
            <w:r>
              <w:rPr>
                <w:rFonts w:hint="default" w:ascii="Times New Roman" w:hAnsi="Times New Roman" w:eastAsia="宋体" w:cs="Times New Roman"/>
                <w:i w:val="0"/>
                <w:iCs w:val="0"/>
                <w:color w:val="000000"/>
                <w:kern w:val="0"/>
                <w:sz w:val="21"/>
                <w:szCs w:val="21"/>
                <w:highlight w:val="none"/>
                <w:u w:val="none"/>
                <w:lang w:val="en-US" w:eastAsia="zh-CN" w:bidi="ar"/>
              </w:rPr>
              <w:t>HCT</w:t>
            </w:r>
            <w:r>
              <w:rPr>
                <w:rFonts w:hint="eastAsia" w:ascii="宋体" w:hAnsi="宋体" w:eastAsia="宋体" w:cs="宋体"/>
                <w:i w:val="0"/>
                <w:iCs w:val="0"/>
                <w:color w:val="000000"/>
                <w:kern w:val="0"/>
                <w:sz w:val="21"/>
                <w:szCs w:val="21"/>
                <w:highlight w:val="none"/>
                <w:u w:val="none"/>
                <w:lang w:val="en-US" w:eastAsia="zh-CN" w:bidi="ar"/>
              </w:rPr>
              <w:t>）、平均血红蛋白浓度（</w:t>
            </w:r>
            <w:r>
              <w:rPr>
                <w:rFonts w:hint="default" w:ascii="Times New Roman" w:hAnsi="Times New Roman" w:eastAsia="宋体" w:cs="Times New Roman"/>
                <w:i w:val="0"/>
                <w:iCs w:val="0"/>
                <w:color w:val="000000"/>
                <w:kern w:val="0"/>
                <w:sz w:val="21"/>
                <w:szCs w:val="21"/>
                <w:highlight w:val="none"/>
                <w:u w:val="none"/>
                <w:lang w:val="en-US" w:eastAsia="zh-CN" w:bidi="ar"/>
              </w:rPr>
              <w:t>MCHC</w:t>
            </w:r>
            <w:r>
              <w:rPr>
                <w:rFonts w:hint="eastAsia" w:ascii="宋体" w:hAnsi="宋体" w:eastAsia="宋体" w:cs="宋体"/>
                <w:i w:val="0"/>
                <w:iCs w:val="0"/>
                <w:color w:val="000000"/>
                <w:kern w:val="0"/>
                <w:sz w:val="21"/>
                <w:szCs w:val="21"/>
                <w:highlight w:val="none"/>
                <w:u w:val="none"/>
                <w:lang w:val="en-US" w:eastAsia="zh-CN" w:bidi="ar"/>
              </w:rPr>
              <w:t>）等</w:t>
            </w:r>
            <w:r>
              <w:rPr>
                <w:rFonts w:hint="default" w:ascii="Times New Roman" w:hAnsi="Times New Roman" w:eastAsia="宋体" w:cs="Times New Roman"/>
                <w:i w:val="0"/>
                <w:iCs w:val="0"/>
                <w:color w:val="000000"/>
                <w:kern w:val="0"/>
                <w:sz w:val="21"/>
                <w:szCs w:val="21"/>
                <w:highlight w:val="none"/>
                <w:u w:val="none"/>
                <w:lang w:val="en-US" w:eastAsia="zh-CN" w:bidi="ar"/>
              </w:rPr>
              <w:t>19项。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5063">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2C5F57C">
            <w:pPr>
              <w:jc w:val="center"/>
              <w:rPr>
                <w:rFonts w:hint="eastAsia" w:ascii="宋体" w:hAnsi="宋体" w:eastAsia="宋体" w:cs="宋体"/>
                <w:i w:val="0"/>
                <w:iCs w:val="0"/>
                <w:color w:val="000000"/>
                <w:sz w:val="21"/>
                <w:szCs w:val="21"/>
                <w:highlight w:val="none"/>
                <w:u w:val="none"/>
              </w:rPr>
            </w:pPr>
          </w:p>
        </w:tc>
      </w:tr>
      <w:tr w14:paraId="5E94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1FDD4A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3FC7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尿常规</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C5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尿蛋白</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、尿糖</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、尿比重</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、尿酮体</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、尿胆红质</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、尿胆元等</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项</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3932">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408BB7B">
            <w:pPr>
              <w:jc w:val="center"/>
              <w:rPr>
                <w:rFonts w:hint="eastAsia" w:ascii="宋体" w:hAnsi="宋体" w:eastAsia="宋体" w:cs="宋体"/>
                <w:i w:val="0"/>
                <w:iCs w:val="0"/>
                <w:color w:val="000000"/>
                <w:sz w:val="21"/>
                <w:szCs w:val="21"/>
                <w:highlight w:val="none"/>
                <w:u w:val="none"/>
              </w:rPr>
            </w:pPr>
          </w:p>
        </w:tc>
      </w:tr>
      <w:tr w14:paraId="50752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2048BF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5C2D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F011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肝胆脾胰双肾，甲状腺彩超</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1B21">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86A449F">
            <w:pPr>
              <w:jc w:val="center"/>
              <w:rPr>
                <w:rFonts w:hint="eastAsia" w:ascii="宋体" w:hAnsi="宋体" w:eastAsia="宋体" w:cs="宋体"/>
                <w:i w:val="0"/>
                <w:iCs w:val="0"/>
                <w:color w:val="000000"/>
                <w:sz w:val="21"/>
                <w:szCs w:val="21"/>
                <w:highlight w:val="none"/>
                <w:u w:val="none"/>
              </w:rPr>
            </w:pPr>
          </w:p>
        </w:tc>
      </w:tr>
      <w:tr w14:paraId="4E847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D0C2D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00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心电图</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8B3E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心电图</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09841">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01D2FA4">
            <w:pPr>
              <w:jc w:val="center"/>
              <w:rPr>
                <w:rFonts w:hint="eastAsia" w:ascii="宋体" w:hAnsi="宋体" w:eastAsia="宋体" w:cs="宋体"/>
                <w:i w:val="0"/>
                <w:iCs w:val="0"/>
                <w:color w:val="000000"/>
                <w:sz w:val="21"/>
                <w:szCs w:val="21"/>
                <w:highlight w:val="none"/>
                <w:u w:val="none"/>
              </w:rPr>
            </w:pPr>
          </w:p>
        </w:tc>
      </w:tr>
      <w:tr w14:paraId="209F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14E230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17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D6E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放射科拍片</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262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胸部正位片</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F694">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2134578">
            <w:pPr>
              <w:jc w:val="center"/>
              <w:rPr>
                <w:rFonts w:hint="eastAsia" w:ascii="宋体" w:hAnsi="宋体" w:eastAsia="宋体" w:cs="宋体"/>
                <w:i w:val="0"/>
                <w:iCs w:val="0"/>
                <w:color w:val="000000"/>
                <w:sz w:val="21"/>
                <w:szCs w:val="21"/>
                <w:highlight w:val="none"/>
                <w:u w:val="none"/>
              </w:rPr>
            </w:pPr>
          </w:p>
        </w:tc>
      </w:tr>
      <w:tr w14:paraId="45C68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3A0B9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17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13DC77">
            <w:pPr>
              <w:jc w:val="center"/>
              <w:rPr>
                <w:rFonts w:hint="eastAsia" w:ascii="宋体" w:hAnsi="宋体" w:eastAsia="宋体" w:cs="宋体"/>
                <w:i w:val="0"/>
                <w:iCs w:val="0"/>
                <w:color w:val="000000"/>
                <w:sz w:val="21"/>
                <w:szCs w:val="21"/>
                <w:highlight w:val="none"/>
                <w:u w:val="none"/>
              </w:rPr>
            </w:pP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95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颈椎侧位片</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A0B50">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0459027">
            <w:pPr>
              <w:jc w:val="center"/>
              <w:rPr>
                <w:rFonts w:hint="eastAsia" w:ascii="宋体" w:hAnsi="宋体" w:eastAsia="宋体" w:cs="宋体"/>
                <w:i w:val="0"/>
                <w:iCs w:val="0"/>
                <w:color w:val="000000"/>
                <w:sz w:val="21"/>
                <w:szCs w:val="21"/>
                <w:highlight w:val="none"/>
                <w:u w:val="none"/>
              </w:rPr>
            </w:pPr>
          </w:p>
        </w:tc>
      </w:tr>
      <w:tr w14:paraId="1FC9E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4A7012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2B40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男性员工彩超检查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D81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前列腺彩超（彩超机）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080D">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369E029F">
            <w:pPr>
              <w:jc w:val="center"/>
              <w:rPr>
                <w:rFonts w:hint="eastAsia" w:ascii="宋体" w:hAnsi="宋体" w:eastAsia="宋体" w:cs="宋体"/>
                <w:i w:val="0"/>
                <w:iCs w:val="0"/>
                <w:color w:val="000000"/>
                <w:sz w:val="21"/>
                <w:szCs w:val="21"/>
                <w:highlight w:val="none"/>
                <w:u w:val="none"/>
              </w:rPr>
            </w:pPr>
          </w:p>
        </w:tc>
      </w:tr>
      <w:tr w14:paraId="3BEAAF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7843C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A55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女性员工彩超检查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6C5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彩超检查双侧乳腺（彩超机）</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26CE8">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7DC48049">
            <w:pPr>
              <w:jc w:val="center"/>
              <w:rPr>
                <w:rFonts w:hint="eastAsia" w:ascii="宋体" w:hAnsi="宋体" w:eastAsia="宋体" w:cs="宋体"/>
                <w:i w:val="0"/>
                <w:iCs w:val="0"/>
                <w:color w:val="000000"/>
                <w:sz w:val="21"/>
                <w:szCs w:val="21"/>
                <w:highlight w:val="none"/>
                <w:u w:val="none"/>
              </w:rPr>
            </w:pPr>
          </w:p>
        </w:tc>
      </w:tr>
      <w:tr w14:paraId="080A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3D7AB1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8D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女性已婚员工彩超检查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6EFD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阴式彩超（阴彩有侵入性，不适合未婚的女士做此项目，未婚做子宫附件彩超）</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A340E">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C36E0E6">
            <w:pPr>
              <w:jc w:val="center"/>
              <w:rPr>
                <w:rFonts w:hint="eastAsia" w:ascii="宋体" w:hAnsi="宋体" w:eastAsia="宋体" w:cs="宋体"/>
                <w:i w:val="0"/>
                <w:iCs w:val="0"/>
                <w:color w:val="000000"/>
                <w:sz w:val="21"/>
                <w:szCs w:val="21"/>
                <w:highlight w:val="none"/>
                <w:u w:val="none"/>
              </w:rPr>
            </w:pPr>
          </w:p>
        </w:tc>
      </w:tr>
      <w:tr w14:paraId="1CC54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87396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D31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女性未婚员工彩超检查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8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子宫附件彩超</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5BE58">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42AA291A">
            <w:pPr>
              <w:jc w:val="center"/>
              <w:rPr>
                <w:rFonts w:hint="eastAsia" w:ascii="宋体" w:hAnsi="宋体" w:eastAsia="宋体" w:cs="宋体"/>
                <w:i w:val="0"/>
                <w:iCs w:val="0"/>
                <w:color w:val="000000"/>
                <w:sz w:val="21"/>
                <w:szCs w:val="21"/>
                <w:highlight w:val="none"/>
                <w:u w:val="none"/>
              </w:rPr>
            </w:pPr>
          </w:p>
        </w:tc>
      </w:tr>
      <w:tr w14:paraId="3DFD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9BAB81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602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妇科检查</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396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妇检</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4AC5A">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630654B0">
            <w:pPr>
              <w:jc w:val="center"/>
              <w:rPr>
                <w:rFonts w:hint="eastAsia" w:ascii="宋体" w:hAnsi="宋体" w:eastAsia="宋体" w:cs="宋体"/>
                <w:i w:val="0"/>
                <w:iCs w:val="0"/>
                <w:color w:val="000000"/>
                <w:sz w:val="21"/>
                <w:szCs w:val="21"/>
                <w:highlight w:val="none"/>
                <w:u w:val="none"/>
              </w:rPr>
            </w:pPr>
          </w:p>
        </w:tc>
      </w:tr>
      <w:tr w14:paraId="73660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3DF711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D138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F966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AEC5">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07C76ADF">
            <w:pPr>
              <w:jc w:val="center"/>
              <w:rPr>
                <w:rFonts w:hint="eastAsia" w:ascii="宋体" w:hAnsi="宋体" w:eastAsia="宋体" w:cs="宋体"/>
                <w:i w:val="0"/>
                <w:iCs w:val="0"/>
                <w:color w:val="000000"/>
                <w:sz w:val="21"/>
                <w:szCs w:val="21"/>
                <w:highlight w:val="none"/>
                <w:u w:val="none"/>
              </w:rPr>
            </w:pPr>
          </w:p>
        </w:tc>
      </w:tr>
      <w:tr w14:paraId="53244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2437B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E9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宫颈刮片</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08E0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宫颈疾病检查</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E1FF5">
            <w:pPr>
              <w:jc w:val="center"/>
              <w:rPr>
                <w:rFonts w:hint="eastAsia" w:ascii="宋体" w:hAnsi="宋体" w:eastAsia="宋体" w:cs="宋体"/>
                <w:i w:val="0"/>
                <w:iCs w:val="0"/>
                <w:color w:val="000000"/>
                <w:sz w:val="21"/>
                <w:szCs w:val="21"/>
                <w:highlight w:val="none"/>
                <w:u w:val="none"/>
              </w:rPr>
            </w:pP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1F8AB8EB">
            <w:pPr>
              <w:jc w:val="center"/>
              <w:rPr>
                <w:rFonts w:hint="eastAsia" w:ascii="宋体" w:hAnsi="宋体" w:eastAsia="宋体" w:cs="宋体"/>
                <w:i w:val="0"/>
                <w:iCs w:val="0"/>
                <w:color w:val="000000"/>
                <w:sz w:val="21"/>
                <w:szCs w:val="21"/>
                <w:highlight w:val="none"/>
                <w:u w:val="none"/>
              </w:rPr>
            </w:pPr>
          </w:p>
        </w:tc>
      </w:tr>
      <w:tr w14:paraId="3F6EF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58FE54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00A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检查大类</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20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增加项目（投标人自行按序添加）</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D7D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检查目的</w:t>
            </w: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918F44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2AD66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20895E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9A7C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C4FD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71FB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2FAE585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182F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725" w:type="dxa"/>
            <w:tcBorders>
              <w:top w:val="single" w:color="000000" w:sz="4" w:space="0"/>
              <w:left w:val="single" w:color="000000" w:sz="12" w:space="0"/>
              <w:bottom w:val="single" w:color="000000" w:sz="4" w:space="0"/>
              <w:right w:val="single" w:color="000000" w:sz="4" w:space="0"/>
            </w:tcBorders>
            <w:shd w:val="clear" w:color="auto" w:fill="auto"/>
            <w:vAlign w:val="center"/>
          </w:tcPr>
          <w:p w14:paraId="7577CA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7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D46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3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8A2B">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6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5F0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806" w:type="dxa"/>
            <w:tcBorders>
              <w:top w:val="single" w:color="000000" w:sz="4" w:space="0"/>
              <w:left w:val="single" w:color="000000" w:sz="4" w:space="0"/>
              <w:bottom w:val="single" w:color="000000" w:sz="4" w:space="0"/>
              <w:right w:val="single" w:color="000000" w:sz="12" w:space="0"/>
            </w:tcBorders>
            <w:shd w:val="clear" w:color="auto" w:fill="auto"/>
            <w:vAlign w:val="center"/>
          </w:tcPr>
          <w:p w14:paraId="5691014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6B371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3" w:hRule="atLeast"/>
          <w:jc w:val="center"/>
        </w:trPr>
        <w:tc>
          <w:tcPr>
            <w:tcW w:w="2496" w:type="dxa"/>
            <w:gridSpan w:val="2"/>
            <w:tcBorders>
              <w:top w:val="single" w:color="000000" w:sz="4" w:space="0"/>
              <w:left w:val="single" w:color="000000" w:sz="12" w:space="0"/>
              <w:bottom w:val="single" w:color="000000" w:sz="12" w:space="0"/>
              <w:right w:val="single" w:color="000000" w:sz="4" w:space="0"/>
            </w:tcBorders>
            <w:shd w:val="clear" w:color="auto" w:fill="auto"/>
            <w:vAlign w:val="center"/>
          </w:tcPr>
          <w:p w14:paraId="57D9F00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套餐小计价格</w:t>
            </w:r>
          </w:p>
        </w:tc>
        <w:tc>
          <w:tcPr>
            <w:tcW w:w="3888"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6B8BDB69">
            <w:pPr>
              <w:jc w:val="left"/>
              <w:rPr>
                <w:rFonts w:hint="default" w:ascii="Times New Roman" w:hAnsi="Times New Roman" w:eastAsia="宋体" w:cs="Times New Roman"/>
                <w:i w:val="0"/>
                <w:iCs w:val="0"/>
                <w:color w:val="000000"/>
                <w:sz w:val="21"/>
                <w:szCs w:val="21"/>
                <w:highlight w:val="none"/>
                <w:u w:val="none"/>
              </w:rPr>
            </w:pPr>
          </w:p>
        </w:tc>
        <w:tc>
          <w:tcPr>
            <w:tcW w:w="1644" w:type="dxa"/>
            <w:tcBorders>
              <w:top w:val="single" w:color="000000" w:sz="4" w:space="0"/>
              <w:left w:val="single" w:color="000000" w:sz="4" w:space="0"/>
              <w:bottom w:val="single" w:color="000000" w:sz="12" w:space="0"/>
              <w:right w:val="single" w:color="000000" w:sz="4" w:space="0"/>
            </w:tcBorders>
            <w:shd w:val="clear" w:color="auto" w:fill="auto"/>
            <w:vAlign w:val="center"/>
          </w:tcPr>
          <w:p w14:paraId="321196B5">
            <w:pPr>
              <w:jc w:val="center"/>
              <w:rPr>
                <w:rFonts w:hint="default" w:ascii="Times New Roman" w:hAnsi="Times New Roman" w:eastAsia="宋体" w:cs="Times New Roman"/>
                <w:i w:val="0"/>
                <w:iCs w:val="0"/>
                <w:color w:val="000000"/>
                <w:sz w:val="21"/>
                <w:szCs w:val="21"/>
                <w:highlight w:val="none"/>
                <w:u w:val="none"/>
              </w:rPr>
            </w:pPr>
          </w:p>
        </w:tc>
        <w:tc>
          <w:tcPr>
            <w:tcW w:w="1806" w:type="dxa"/>
            <w:tcBorders>
              <w:top w:val="single" w:color="000000" w:sz="4" w:space="0"/>
              <w:left w:val="single" w:color="000000" w:sz="4" w:space="0"/>
              <w:bottom w:val="single" w:color="000000" w:sz="12" w:space="0"/>
              <w:right w:val="single" w:color="000000" w:sz="12" w:space="0"/>
            </w:tcBorders>
            <w:shd w:val="clear" w:color="auto" w:fill="auto"/>
            <w:vAlign w:val="center"/>
          </w:tcPr>
          <w:p w14:paraId="40C7A695">
            <w:pPr>
              <w:jc w:val="center"/>
              <w:rPr>
                <w:rFonts w:hint="default" w:ascii="Times New Roman" w:hAnsi="Times New Roman" w:eastAsia="宋体" w:cs="Times New Roman"/>
                <w:i w:val="0"/>
                <w:iCs w:val="0"/>
                <w:color w:val="000000"/>
                <w:sz w:val="21"/>
                <w:szCs w:val="21"/>
                <w:highlight w:val="none"/>
                <w:u w:val="none"/>
              </w:rPr>
            </w:pPr>
          </w:p>
        </w:tc>
      </w:tr>
    </w:tbl>
    <w:p w14:paraId="00179DC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highlight w:val="none"/>
          <w:lang w:val="zh-CN"/>
        </w:rPr>
      </w:pPr>
      <w:r>
        <w:rPr>
          <w:rFonts w:hint="eastAsia" w:ascii="黑体" w:hAnsi="黑体" w:eastAsia="黑体" w:cs="黑体"/>
          <w:b w:val="0"/>
          <w:bCs/>
          <w:sz w:val="24"/>
          <w:szCs w:val="28"/>
          <w:highlight w:val="none"/>
          <w:lang w:val="en-US" w:eastAsia="zh-CN"/>
        </w:rPr>
        <w:t>二、体检</w:t>
      </w:r>
      <w:r>
        <w:rPr>
          <w:rFonts w:hint="eastAsia" w:ascii="黑体" w:hAnsi="黑体" w:eastAsia="黑体" w:cs="黑体"/>
          <w:b w:val="0"/>
          <w:bCs/>
          <w:sz w:val="24"/>
          <w:szCs w:val="28"/>
          <w:highlight w:val="none"/>
        </w:rPr>
        <w:t>套餐（限价不超过</w:t>
      </w:r>
      <w:r>
        <w:rPr>
          <w:rFonts w:hint="eastAsia" w:ascii="黑体" w:hAnsi="黑体" w:eastAsia="黑体" w:cs="黑体"/>
          <w:b w:val="0"/>
          <w:bCs/>
          <w:sz w:val="24"/>
          <w:szCs w:val="28"/>
          <w:highlight w:val="none"/>
          <w:lang w:val="en-US" w:eastAsia="zh-CN"/>
        </w:rPr>
        <w:t>50</w:t>
      </w:r>
      <w:r>
        <w:rPr>
          <w:rFonts w:hint="eastAsia" w:ascii="黑体" w:hAnsi="黑体" w:eastAsia="黑体" w:cs="黑体"/>
          <w:b w:val="0"/>
          <w:bCs/>
          <w:sz w:val="24"/>
          <w:szCs w:val="28"/>
          <w:highlight w:val="none"/>
        </w:rPr>
        <w:t>0元/人）</w:t>
      </w:r>
    </w:p>
    <w:tbl>
      <w:tblPr>
        <w:tblStyle w:val="15"/>
        <w:tblW w:w="969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68"/>
        <w:gridCol w:w="1674"/>
        <w:gridCol w:w="3876"/>
        <w:gridCol w:w="1632"/>
        <w:gridCol w:w="1746"/>
      </w:tblGrid>
      <w:tr w14:paraId="5D7D554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0" w:hRule="atLeast"/>
          <w:jc w:val="center"/>
        </w:trPr>
        <w:tc>
          <w:tcPr>
            <w:tcW w:w="768" w:type="dxa"/>
            <w:tcBorders>
              <w:tl2br w:val="nil"/>
              <w:tr2bl w:val="nil"/>
            </w:tcBorders>
            <w:shd w:val="clear" w:color="auto" w:fill="auto"/>
            <w:vAlign w:val="center"/>
          </w:tcPr>
          <w:p w14:paraId="631B52E5">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674" w:type="dxa"/>
            <w:tcBorders>
              <w:tl2br w:val="nil"/>
              <w:tr2bl w:val="nil"/>
            </w:tcBorders>
            <w:shd w:val="clear" w:color="auto" w:fill="auto"/>
            <w:vAlign w:val="center"/>
          </w:tcPr>
          <w:p w14:paraId="08E7B4A4">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检查大类</w:t>
            </w:r>
          </w:p>
        </w:tc>
        <w:tc>
          <w:tcPr>
            <w:tcW w:w="3876" w:type="dxa"/>
            <w:tcBorders>
              <w:tl2br w:val="nil"/>
              <w:tr2bl w:val="nil"/>
            </w:tcBorders>
            <w:shd w:val="clear" w:color="auto" w:fill="auto"/>
            <w:vAlign w:val="center"/>
          </w:tcPr>
          <w:p w14:paraId="39672AEA">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基准项目</w:t>
            </w:r>
          </w:p>
        </w:tc>
        <w:tc>
          <w:tcPr>
            <w:tcW w:w="1632" w:type="dxa"/>
            <w:tcBorders>
              <w:tl2br w:val="nil"/>
              <w:tr2bl w:val="nil"/>
            </w:tcBorders>
            <w:shd w:val="clear" w:color="auto" w:fill="auto"/>
            <w:vAlign w:val="center"/>
          </w:tcPr>
          <w:p w14:paraId="3C032B61">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检查目的</w:t>
            </w:r>
          </w:p>
        </w:tc>
        <w:tc>
          <w:tcPr>
            <w:tcW w:w="1746" w:type="dxa"/>
            <w:tcBorders>
              <w:tl2br w:val="nil"/>
              <w:tr2bl w:val="nil"/>
            </w:tcBorders>
            <w:shd w:val="clear" w:color="auto" w:fill="auto"/>
            <w:vAlign w:val="center"/>
          </w:tcPr>
          <w:p w14:paraId="3116DCDF">
            <w:pPr>
              <w:keepNext w:val="0"/>
              <w:keepLines w:val="0"/>
              <w:widowControl/>
              <w:suppressLineNumbers w:val="0"/>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基准项目提升优化说明</w:t>
            </w:r>
          </w:p>
        </w:tc>
      </w:tr>
      <w:tr w14:paraId="7ADA1B5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631065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w:t>
            </w:r>
          </w:p>
        </w:tc>
        <w:tc>
          <w:tcPr>
            <w:tcW w:w="1674" w:type="dxa"/>
            <w:vMerge w:val="restart"/>
            <w:tcBorders>
              <w:tl2br w:val="nil"/>
              <w:tr2bl w:val="nil"/>
            </w:tcBorders>
            <w:shd w:val="clear" w:color="auto" w:fill="auto"/>
            <w:vAlign w:val="center"/>
          </w:tcPr>
          <w:p w14:paraId="3D283F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一般检查</w:t>
            </w:r>
          </w:p>
        </w:tc>
        <w:tc>
          <w:tcPr>
            <w:tcW w:w="3876" w:type="dxa"/>
            <w:tcBorders>
              <w:tl2br w:val="nil"/>
              <w:tr2bl w:val="nil"/>
            </w:tcBorders>
            <w:shd w:val="clear" w:color="auto" w:fill="auto"/>
            <w:vAlign w:val="center"/>
          </w:tcPr>
          <w:p w14:paraId="4DFCC7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身高、体重</w:t>
            </w:r>
          </w:p>
        </w:tc>
        <w:tc>
          <w:tcPr>
            <w:tcW w:w="1632" w:type="dxa"/>
            <w:tcBorders>
              <w:tl2br w:val="nil"/>
              <w:tr2bl w:val="nil"/>
            </w:tcBorders>
            <w:shd w:val="clear" w:color="auto" w:fill="auto"/>
            <w:vAlign w:val="center"/>
          </w:tcPr>
          <w:p w14:paraId="1203927F">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A03BF03">
            <w:pPr>
              <w:jc w:val="center"/>
              <w:rPr>
                <w:rFonts w:hint="eastAsia" w:ascii="宋体" w:hAnsi="宋体" w:eastAsia="宋体" w:cs="宋体"/>
                <w:i w:val="0"/>
                <w:iCs w:val="0"/>
                <w:color w:val="000000"/>
                <w:sz w:val="21"/>
                <w:szCs w:val="21"/>
                <w:highlight w:val="none"/>
                <w:u w:val="none"/>
              </w:rPr>
            </w:pPr>
          </w:p>
        </w:tc>
      </w:tr>
      <w:tr w14:paraId="5CE32C2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4FE426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w:t>
            </w:r>
          </w:p>
        </w:tc>
        <w:tc>
          <w:tcPr>
            <w:tcW w:w="1674" w:type="dxa"/>
            <w:vMerge w:val="continue"/>
            <w:tcBorders>
              <w:tl2br w:val="nil"/>
              <w:tr2bl w:val="nil"/>
            </w:tcBorders>
            <w:shd w:val="clear" w:color="auto" w:fill="auto"/>
            <w:vAlign w:val="center"/>
          </w:tcPr>
          <w:p w14:paraId="6F422CC4">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56E0C6F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血压</w:t>
            </w:r>
          </w:p>
        </w:tc>
        <w:tc>
          <w:tcPr>
            <w:tcW w:w="1632" w:type="dxa"/>
            <w:tcBorders>
              <w:tl2br w:val="nil"/>
              <w:tr2bl w:val="nil"/>
            </w:tcBorders>
            <w:shd w:val="clear" w:color="auto" w:fill="auto"/>
            <w:vAlign w:val="center"/>
          </w:tcPr>
          <w:p w14:paraId="2B947A3E">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5AEEFEB2">
            <w:pPr>
              <w:jc w:val="center"/>
              <w:rPr>
                <w:rFonts w:hint="eastAsia" w:ascii="宋体" w:hAnsi="宋体" w:eastAsia="宋体" w:cs="宋体"/>
                <w:i w:val="0"/>
                <w:iCs w:val="0"/>
                <w:color w:val="000000"/>
                <w:sz w:val="21"/>
                <w:szCs w:val="21"/>
                <w:highlight w:val="none"/>
                <w:u w:val="none"/>
              </w:rPr>
            </w:pPr>
          </w:p>
        </w:tc>
      </w:tr>
      <w:tr w14:paraId="619E33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247921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w:t>
            </w:r>
          </w:p>
        </w:tc>
        <w:tc>
          <w:tcPr>
            <w:tcW w:w="1674" w:type="dxa"/>
            <w:tcBorders>
              <w:tl2br w:val="nil"/>
              <w:tr2bl w:val="nil"/>
            </w:tcBorders>
            <w:shd w:val="clear" w:color="auto" w:fill="auto"/>
            <w:vAlign w:val="center"/>
          </w:tcPr>
          <w:p w14:paraId="423990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c>
          <w:tcPr>
            <w:tcW w:w="3876" w:type="dxa"/>
            <w:tcBorders>
              <w:tl2br w:val="nil"/>
              <w:tr2bl w:val="nil"/>
            </w:tcBorders>
            <w:shd w:val="clear" w:color="auto" w:fill="auto"/>
            <w:vAlign w:val="center"/>
          </w:tcPr>
          <w:p w14:paraId="5DE890B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内科</w:t>
            </w:r>
          </w:p>
        </w:tc>
        <w:tc>
          <w:tcPr>
            <w:tcW w:w="1632" w:type="dxa"/>
            <w:tcBorders>
              <w:tl2br w:val="nil"/>
              <w:tr2bl w:val="nil"/>
            </w:tcBorders>
            <w:shd w:val="clear" w:color="auto" w:fill="auto"/>
            <w:vAlign w:val="center"/>
          </w:tcPr>
          <w:p w14:paraId="0A63E5E9">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540D236">
            <w:pPr>
              <w:jc w:val="center"/>
              <w:rPr>
                <w:rFonts w:hint="eastAsia" w:ascii="宋体" w:hAnsi="宋体" w:eastAsia="宋体" w:cs="宋体"/>
                <w:i w:val="0"/>
                <w:iCs w:val="0"/>
                <w:color w:val="000000"/>
                <w:sz w:val="21"/>
                <w:szCs w:val="21"/>
                <w:highlight w:val="none"/>
                <w:u w:val="none"/>
              </w:rPr>
            </w:pPr>
          </w:p>
        </w:tc>
      </w:tr>
      <w:tr w14:paraId="1C181DA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56482E1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4</w:t>
            </w:r>
          </w:p>
        </w:tc>
        <w:tc>
          <w:tcPr>
            <w:tcW w:w="1674" w:type="dxa"/>
            <w:tcBorders>
              <w:tl2br w:val="nil"/>
              <w:tr2bl w:val="nil"/>
            </w:tcBorders>
            <w:shd w:val="clear" w:color="auto" w:fill="auto"/>
            <w:vAlign w:val="center"/>
          </w:tcPr>
          <w:p w14:paraId="232743A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c>
          <w:tcPr>
            <w:tcW w:w="3876" w:type="dxa"/>
            <w:tcBorders>
              <w:tl2br w:val="nil"/>
              <w:tr2bl w:val="nil"/>
            </w:tcBorders>
            <w:shd w:val="clear" w:color="auto" w:fill="auto"/>
            <w:vAlign w:val="center"/>
          </w:tcPr>
          <w:p w14:paraId="4D1E69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外科</w:t>
            </w:r>
          </w:p>
        </w:tc>
        <w:tc>
          <w:tcPr>
            <w:tcW w:w="1632" w:type="dxa"/>
            <w:tcBorders>
              <w:tl2br w:val="nil"/>
              <w:tr2bl w:val="nil"/>
            </w:tcBorders>
            <w:shd w:val="clear" w:color="auto" w:fill="auto"/>
            <w:vAlign w:val="center"/>
          </w:tcPr>
          <w:p w14:paraId="5C873351">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6D0C6CBD">
            <w:pPr>
              <w:jc w:val="center"/>
              <w:rPr>
                <w:rFonts w:hint="eastAsia" w:ascii="宋体" w:hAnsi="宋体" w:eastAsia="宋体" w:cs="宋体"/>
                <w:i w:val="0"/>
                <w:iCs w:val="0"/>
                <w:color w:val="000000"/>
                <w:sz w:val="21"/>
                <w:szCs w:val="21"/>
                <w:highlight w:val="none"/>
                <w:u w:val="none"/>
              </w:rPr>
            </w:pPr>
          </w:p>
        </w:tc>
      </w:tr>
      <w:tr w14:paraId="48770B9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775FC1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5</w:t>
            </w:r>
          </w:p>
        </w:tc>
        <w:tc>
          <w:tcPr>
            <w:tcW w:w="1674" w:type="dxa"/>
            <w:tcBorders>
              <w:tl2br w:val="nil"/>
              <w:tr2bl w:val="nil"/>
            </w:tcBorders>
            <w:shd w:val="clear" w:color="auto" w:fill="auto"/>
            <w:vAlign w:val="center"/>
          </w:tcPr>
          <w:p w14:paraId="45F68ED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c>
          <w:tcPr>
            <w:tcW w:w="3876" w:type="dxa"/>
            <w:tcBorders>
              <w:tl2br w:val="nil"/>
              <w:tr2bl w:val="nil"/>
            </w:tcBorders>
            <w:shd w:val="clear" w:color="auto" w:fill="auto"/>
            <w:vAlign w:val="center"/>
          </w:tcPr>
          <w:p w14:paraId="3CE3E9E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视力</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色觉</w:t>
            </w:r>
          </w:p>
        </w:tc>
        <w:tc>
          <w:tcPr>
            <w:tcW w:w="1632" w:type="dxa"/>
            <w:tcBorders>
              <w:tl2br w:val="nil"/>
              <w:tr2bl w:val="nil"/>
            </w:tcBorders>
            <w:shd w:val="clear" w:color="auto" w:fill="auto"/>
            <w:vAlign w:val="center"/>
          </w:tcPr>
          <w:p w14:paraId="69D00F33">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010E6B13">
            <w:pPr>
              <w:jc w:val="center"/>
              <w:rPr>
                <w:rFonts w:hint="eastAsia" w:ascii="宋体" w:hAnsi="宋体" w:eastAsia="宋体" w:cs="宋体"/>
                <w:i w:val="0"/>
                <w:iCs w:val="0"/>
                <w:color w:val="000000"/>
                <w:sz w:val="21"/>
                <w:szCs w:val="21"/>
                <w:highlight w:val="none"/>
                <w:u w:val="none"/>
              </w:rPr>
            </w:pPr>
          </w:p>
        </w:tc>
      </w:tr>
      <w:tr w14:paraId="4E45768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3DE2C4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6</w:t>
            </w:r>
          </w:p>
        </w:tc>
        <w:tc>
          <w:tcPr>
            <w:tcW w:w="1674" w:type="dxa"/>
            <w:tcBorders>
              <w:tl2br w:val="nil"/>
              <w:tr2bl w:val="nil"/>
            </w:tcBorders>
            <w:shd w:val="clear" w:color="auto" w:fill="auto"/>
            <w:vAlign w:val="center"/>
          </w:tcPr>
          <w:p w14:paraId="427D8D9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c>
          <w:tcPr>
            <w:tcW w:w="3876" w:type="dxa"/>
            <w:tcBorders>
              <w:tl2br w:val="nil"/>
              <w:tr2bl w:val="nil"/>
            </w:tcBorders>
            <w:shd w:val="clear" w:color="auto" w:fill="auto"/>
            <w:vAlign w:val="center"/>
          </w:tcPr>
          <w:p w14:paraId="2B78C2F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耳鼻咽喉科</w:t>
            </w:r>
          </w:p>
        </w:tc>
        <w:tc>
          <w:tcPr>
            <w:tcW w:w="1632" w:type="dxa"/>
            <w:tcBorders>
              <w:tl2br w:val="nil"/>
              <w:tr2bl w:val="nil"/>
            </w:tcBorders>
            <w:shd w:val="clear" w:color="auto" w:fill="auto"/>
            <w:vAlign w:val="center"/>
          </w:tcPr>
          <w:p w14:paraId="39E81603">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6A5B6DF">
            <w:pPr>
              <w:jc w:val="center"/>
              <w:rPr>
                <w:rFonts w:hint="eastAsia" w:ascii="宋体" w:hAnsi="宋体" w:eastAsia="宋体" w:cs="宋体"/>
                <w:i w:val="0"/>
                <w:iCs w:val="0"/>
                <w:color w:val="000000"/>
                <w:sz w:val="21"/>
                <w:szCs w:val="21"/>
                <w:highlight w:val="none"/>
                <w:u w:val="none"/>
              </w:rPr>
            </w:pPr>
          </w:p>
        </w:tc>
      </w:tr>
      <w:tr w14:paraId="2B17810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7A450E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7</w:t>
            </w:r>
          </w:p>
        </w:tc>
        <w:tc>
          <w:tcPr>
            <w:tcW w:w="1674" w:type="dxa"/>
            <w:tcBorders>
              <w:tl2br w:val="nil"/>
              <w:tr2bl w:val="nil"/>
            </w:tcBorders>
            <w:shd w:val="clear" w:color="auto" w:fill="auto"/>
            <w:vAlign w:val="center"/>
          </w:tcPr>
          <w:p w14:paraId="169B94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口腔科</w:t>
            </w:r>
          </w:p>
        </w:tc>
        <w:tc>
          <w:tcPr>
            <w:tcW w:w="3876" w:type="dxa"/>
            <w:tcBorders>
              <w:tl2br w:val="nil"/>
              <w:tr2bl w:val="nil"/>
            </w:tcBorders>
            <w:shd w:val="clear" w:color="auto" w:fill="auto"/>
            <w:vAlign w:val="center"/>
          </w:tcPr>
          <w:p w14:paraId="0ADF879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口腔常规检查，全面了解口腔健康状况，及时发现口腔科常见疾病。</w:t>
            </w:r>
          </w:p>
        </w:tc>
        <w:tc>
          <w:tcPr>
            <w:tcW w:w="1632" w:type="dxa"/>
            <w:tcBorders>
              <w:tl2br w:val="nil"/>
              <w:tr2bl w:val="nil"/>
            </w:tcBorders>
            <w:shd w:val="clear" w:color="auto" w:fill="auto"/>
            <w:vAlign w:val="center"/>
          </w:tcPr>
          <w:p w14:paraId="1D142D56">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1E86672">
            <w:pPr>
              <w:jc w:val="center"/>
              <w:rPr>
                <w:rFonts w:hint="eastAsia" w:ascii="宋体" w:hAnsi="宋体" w:eastAsia="宋体" w:cs="宋体"/>
                <w:i w:val="0"/>
                <w:iCs w:val="0"/>
                <w:color w:val="000000"/>
                <w:sz w:val="21"/>
                <w:szCs w:val="21"/>
                <w:highlight w:val="none"/>
                <w:u w:val="none"/>
              </w:rPr>
            </w:pPr>
          </w:p>
        </w:tc>
      </w:tr>
      <w:tr w14:paraId="12EFB94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3A303AD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8</w:t>
            </w:r>
          </w:p>
        </w:tc>
        <w:tc>
          <w:tcPr>
            <w:tcW w:w="1674" w:type="dxa"/>
            <w:vMerge w:val="restart"/>
            <w:tcBorders>
              <w:tl2br w:val="nil"/>
              <w:tr2bl w:val="nil"/>
            </w:tcBorders>
            <w:shd w:val="clear" w:color="auto" w:fill="auto"/>
            <w:vAlign w:val="center"/>
          </w:tcPr>
          <w:p w14:paraId="2C27977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肝功能七项</w:t>
            </w:r>
          </w:p>
        </w:tc>
        <w:tc>
          <w:tcPr>
            <w:tcW w:w="3876" w:type="dxa"/>
            <w:tcBorders>
              <w:tl2br w:val="nil"/>
              <w:tr2bl w:val="nil"/>
            </w:tcBorders>
            <w:shd w:val="clear" w:color="auto" w:fill="auto"/>
            <w:vAlign w:val="center"/>
          </w:tcPr>
          <w:p w14:paraId="3756474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丙氨酸氨基转移酶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(ALT) \ </w:t>
            </w:r>
            <w:r>
              <w:rPr>
                <w:rFonts w:hint="eastAsia" w:ascii="宋体" w:hAnsi="宋体" w:eastAsia="宋体" w:cs="宋体"/>
                <w:i w:val="0"/>
                <w:iCs w:val="0"/>
                <w:color w:val="000000"/>
                <w:kern w:val="0"/>
                <w:sz w:val="21"/>
                <w:szCs w:val="21"/>
                <w:highlight w:val="none"/>
                <w:u w:val="none"/>
                <w:lang w:val="en-US" w:eastAsia="zh-CN" w:bidi="ar"/>
              </w:rPr>
              <w:t>天门冬氨酸氨基转移酶</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(AST) \ </w:t>
            </w:r>
            <w:r>
              <w:rPr>
                <w:rFonts w:hint="eastAsia" w:ascii="宋体" w:hAnsi="宋体" w:eastAsia="宋体" w:cs="宋体"/>
                <w:i w:val="0"/>
                <w:iCs w:val="0"/>
                <w:color w:val="000000"/>
                <w:kern w:val="0"/>
                <w:sz w:val="21"/>
                <w:szCs w:val="21"/>
                <w:highlight w:val="none"/>
                <w:u w:val="none"/>
                <w:lang w:val="en-US" w:eastAsia="zh-CN" w:bidi="ar"/>
              </w:rPr>
              <w:t>谷氨酰转肽酶</w:t>
            </w:r>
            <w:r>
              <w:rPr>
                <w:rFonts w:hint="default" w:ascii="Times New Roman" w:hAnsi="Times New Roman" w:eastAsia="宋体" w:cs="Times New Roman"/>
                <w:i w:val="0"/>
                <w:iCs w:val="0"/>
                <w:color w:val="000000"/>
                <w:kern w:val="0"/>
                <w:sz w:val="21"/>
                <w:szCs w:val="21"/>
                <w:highlight w:val="none"/>
                <w:u w:val="none"/>
                <w:lang w:val="en-US" w:eastAsia="zh-CN" w:bidi="ar"/>
              </w:rPr>
              <w:t>(GGT)</w:t>
            </w:r>
          </w:p>
        </w:tc>
        <w:tc>
          <w:tcPr>
            <w:tcW w:w="1632" w:type="dxa"/>
            <w:tcBorders>
              <w:tl2br w:val="nil"/>
              <w:tr2bl w:val="nil"/>
            </w:tcBorders>
            <w:shd w:val="clear" w:color="auto" w:fill="auto"/>
            <w:vAlign w:val="center"/>
          </w:tcPr>
          <w:p w14:paraId="2BB4E627">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0B264920">
            <w:pPr>
              <w:jc w:val="center"/>
              <w:rPr>
                <w:rFonts w:hint="eastAsia" w:ascii="宋体" w:hAnsi="宋体" w:eastAsia="宋体" w:cs="宋体"/>
                <w:i w:val="0"/>
                <w:iCs w:val="0"/>
                <w:color w:val="000000"/>
                <w:sz w:val="21"/>
                <w:szCs w:val="21"/>
                <w:highlight w:val="none"/>
                <w:u w:val="none"/>
              </w:rPr>
            </w:pPr>
          </w:p>
        </w:tc>
      </w:tr>
      <w:tr w14:paraId="3E220A5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504CEE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9</w:t>
            </w:r>
          </w:p>
        </w:tc>
        <w:tc>
          <w:tcPr>
            <w:tcW w:w="1674" w:type="dxa"/>
            <w:vMerge w:val="continue"/>
            <w:tcBorders>
              <w:tl2br w:val="nil"/>
              <w:tr2bl w:val="nil"/>
            </w:tcBorders>
            <w:shd w:val="clear" w:color="auto" w:fill="auto"/>
            <w:vAlign w:val="center"/>
          </w:tcPr>
          <w:p w14:paraId="3DD96450">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5EFCB48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血清蛋白四项</w:t>
            </w:r>
          </w:p>
        </w:tc>
        <w:tc>
          <w:tcPr>
            <w:tcW w:w="1632" w:type="dxa"/>
            <w:tcBorders>
              <w:tl2br w:val="nil"/>
              <w:tr2bl w:val="nil"/>
            </w:tcBorders>
            <w:shd w:val="clear" w:color="auto" w:fill="auto"/>
            <w:vAlign w:val="center"/>
          </w:tcPr>
          <w:p w14:paraId="2276BD32">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724460C9">
            <w:pPr>
              <w:jc w:val="center"/>
              <w:rPr>
                <w:rFonts w:hint="eastAsia" w:ascii="宋体" w:hAnsi="宋体" w:eastAsia="宋体" w:cs="宋体"/>
                <w:i w:val="0"/>
                <w:iCs w:val="0"/>
                <w:color w:val="000000"/>
                <w:sz w:val="21"/>
                <w:szCs w:val="21"/>
                <w:highlight w:val="none"/>
                <w:u w:val="none"/>
              </w:rPr>
            </w:pPr>
          </w:p>
        </w:tc>
      </w:tr>
      <w:tr w14:paraId="75D9030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0ECDB57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10</w:t>
            </w:r>
          </w:p>
        </w:tc>
        <w:tc>
          <w:tcPr>
            <w:tcW w:w="1674" w:type="dxa"/>
            <w:tcBorders>
              <w:tl2br w:val="nil"/>
              <w:tr2bl w:val="nil"/>
            </w:tcBorders>
            <w:shd w:val="clear" w:color="auto" w:fill="auto"/>
            <w:vAlign w:val="center"/>
          </w:tcPr>
          <w:p w14:paraId="3AA9932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肾功能三项</w:t>
            </w:r>
          </w:p>
        </w:tc>
        <w:tc>
          <w:tcPr>
            <w:tcW w:w="3876" w:type="dxa"/>
            <w:tcBorders>
              <w:tl2br w:val="nil"/>
              <w:tr2bl w:val="nil"/>
            </w:tcBorders>
            <w:shd w:val="clear" w:color="auto" w:fill="auto"/>
            <w:vAlign w:val="center"/>
          </w:tcPr>
          <w:p w14:paraId="308B3D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尿素氮</w:t>
            </w:r>
            <w:r>
              <w:rPr>
                <w:rFonts w:hint="default" w:ascii="Times New Roman" w:hAnsi="Times New Roman" w:eastAsia="宋体" w:cs="Times New Roman"/>
                <w:i w:val="0"/>
                <w:iCs w:val="0"/>
                <w:color w:val="000000"/>
                <w:kern w:val="0"/>
                <w:sz w:val="21"/>
                <w:szCs w:val="21"/>
                <w:highlight w:val="none"/>
                <w:u w:val="none"/>
                <w:lang w:val="en-US" w:eastAsia="zh-CN" w:bidi="ar"/>
              </w:rPr>
              <w:t>(BUN)</w:t>
            </w:r>
            <w:r>
              <w:rPr>
                <w:rFonts w:hint="eastAsia" w:ascii="宋体" w:hAnsi="宋体" w:eastAsia="宋体" w:cs="宋体"/>
                <w:i w:val="0"/>
                <w:iCs w:val="0"/>
                <w:color w:val="000000"/>
                <w:kern w:val="0"/>
                <w:sz w:val="21"/>
                <w:szCs w:val="21"/>
                <w:highlight w:val="none"/>
                <w:u w:val="none"/>
                <w:lang w:val="en-US" w:eastAsia="zh-CN" w:bidi="ar"/>
              </w:rPr>
              <w:t>、肌肝</w:t>
            </w:r>
            <w:r>
              <w:rPr>
                <w:rFonts w:hint="default" w:ascii="Times New Roman" w:hAnsi="Times New Roman" w:eastAsia="宋体" w:cs="Times New Roman"/>
                <w:i w:val="0"/>
                <w:iCs w:val="0"/>
                <w:color w:val="000000"/>
                <w:kern w:val="0"/>
                <w:sz w:val="21"/>
                <w:szCs w:val="21"/>
                <w:highlight w:val="none"/>
                <w:u w:val="none"/>
                <w:lang w:val="en-US" w:eastAsia="zh-CN" w:bidi="ar"/>
              </w:rPr>
              <w:t>(CR)</w:t>
            </w:r>
            <w:r>
              <w:rPr>
                <w:rFonts w:hint="eastAsia" w:ascii="宋体" w:hAnsi="宋体" w:eastAsia="宋体" w:cs="宋体"/>
                <w:i w:val="0"/>
                <w:iCs w:val="0"/>
                <w:color w:val="000000"/>
                <w:kern w:val="0"/>
                <w:sz w:val="21"/>
                <w:szCs w:val="21"/>
                <w:highlight w:val="none"/>
                <w:u w:val="none"/>
                <w:lang w:val="en-US" w:eastAsia="zh-CN" w:bidi="ar"/>
              </w:rPr>
              <w:t>、尿酸</w:t>
            </w:r>
          </w:p>
        </w:tc>
        <w:tc>
          <w:tcPr>
            <w:tcW w:w="1632" w:type="dxa"/>
            <w:tcBorders>
              <w:tl2br w:val="nil"/>
              <w:tr2bl w:val="nil"/>
            </w:tcBorders>
            <w:shd w:val="clear" w:color="auto" w:fill="auto"/>
            <w:vAlign w:val="center"/>
          </w:tcPr>
          <w:p w14:paraId="33D3C3EF">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648338B2">
            <w:pPr>
              <w:jc w:val="center"/>
              <w:rPr>
                <w:rFonts w:hint="eastAsia" w:ascii="宋体" w:hAnsi="宋体" w:eastAsia="宋体" w:cs="宋体"/>
                <w:i w:val="0"/>
                <w:iCs w:val="0"/>
                <w:color w:val="000000"/>
                <w:sz w:val="21"/>
                <w:szCs w:val="21"/>
                <w:highlight w:val="none"/>
                <w:u w:val="none"/>
              </w:rPr>
            </w:pPr>
          </w:p>
        </w:tc>
      </w:tr>
      <w:tr w14:paraId="33214E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478887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11</w:t>
            </w:r>
          </w:p>
        </w:tc>
        <w:tc>
          <w:tcPr>
            <w:tcW w:w="1674" w:type="dxa"/>
            <w:tcBorders>
              <w:tl2br w:val="nil"/>
              <w:tr2bl w:val="nil"/>
            </w:tcBorders>
            <w:shd w:val="clear" w:color="auto" w:fill="auto"/>
            <w:vAlign w:val="center"/>
          </w:tcPr>
          <w:p w14:paraId="33E3B25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血脂四项</w:t>
            </w:r>
          </w:p>
        </w:tc>
        <w:tc>
          <w:tcPr>
            <w:tcW w:w="3876" w:type="dxa"/>
            <w:tcBorders>
              <w:tl2br w:val="nil"/>
              <w:tr2bl w:val="nil"/>
            </w:tcBorders>
            <w:shd w:val="clear" w:color="auto" w:fill="auto"/>
            <w:vAlign w:val="center"/>
          </w:tcPr>
          <w:p w14:paraId="41D582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总胆固醇、甘油三脂、低密度脂蛋白胆固醇、高密度脂蛋白胆固醇</w:t>
            </w:r>
          </w:p>
        </w:tc>
        <w:tc>
          <w:tcPr>
            <w:tcW w:w="1632" w:type="dxa"/>
            <w:tcBorders>
              <w:tl2br w:val="nil"/>
              <w:tr2bl w:val="nil"/>
            </w:tcBorders>
            <w:shd w:val="clear" w:color="auto" w:fill="auto"/>
            <w:vAlign w:val="center"/>
          </w:tcPr>
          <w:p w14:paraId="674FF070">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0DB06895">
            <w:pPr>
              <w:jc w:val="center"/>
              <w:rPr>
                <w:rFonts w:hint="eastAsia" w:ascii="宋体" w:hAnsi="宋体" w:eastAsia="宋体" w:cs="宋体"/>
                <w:i w:val="0"/>
                <w:iCs w:val="0"/>
                <w:color w:val="000000"/>
                <w:sz w:val="21"/>
                <w:szCs w:val="21"/>
                <w:highlight w:val="none"/>
                <w:u w:val="none"/>
              </w:rPr>
            </w:pPr>
          </w:p>
        </w:tc>
      </w:tr>
      <w:tr w14:paraId="167FC5D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34FA95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12</w:t>
            </w:r>
          </w:p>
        </w:tc>
        <w:tc>
          <w:tcPr>
            <w:tcW w:w="1674" w:type="dxa"/>
            <w:tcBorders>
              <w:tl2br w:val="nil"/>
              <w:tr2bl w:val="nil"/>
            </w:tcBorders>
            <w:shd w:val="clear" w:color="auto" w:fill="auto"/>
            <w:vAlign w:val="center"/>
          </w:tcPr>
          <w:p w14:paraId="0DA533B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c>
          <w:tcPr>
            <w:tcW w:w="3876" w:type="dxa"/>
            <w:tcBorders>
              <w:tl2br w:val="nil"/>
              <w:tr2bl w:val="nil"/>
            </w:tcBorders>
            <w:shd w:val="clear" w:color="auto" w:fill="auto"/>
            <w:vAlign w:val="center"/>
          </w:tcPr>
          <w:p w14:paraId="10A4DF2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甲功三项</w:t>
            </w:r>
            <w:r>
              <w:rPr>
                <w:rFonts w:hint="default" w:ascii="Times New Roman" w:hAnsi="Times New Roman" w:eastAsia="宋体" w:cs="Times New Roman"/>
                <w:i w:val="0"/>
                <w:iCs w:val="0"/>
                <w:color w:val="000000"/>
                <w:kern w:val="0"/>
                <w:sz w:val="21"/>
                <w:szCs w:val="21"/>
                <w:highlight w:val="none"/>
                <w:u w:val="none"/>
                <w:lang w:val="en-US" w:eastAsia="zh-CN" w:bidi="ar"/>
              </w:rPr>
              <w:t>A</w:t>
            </w:r>
          </w:p>
        </w:tc>
        <w:tc>
          <w:tcPr>
            <w:tcW w:w="1632" w:type="dxa"/>
            <w:tcBorders>
              <w:tl2br w:val="nil"/>
              <w:tr2bl w:val="nil"/>
            </w:tcBorders>
            <w:shd w:val="clear" w:color="auto" w:fill="auto"/>
            <w:vAlign w:val="center"/>
          </w:tcPr>
          <w:p w14:paraId="17E4AE92">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7B725F56">
            <w:pPr>
              <w:jc w:val="center"/>
              <w:rPr>
                <w:rFonts w:hint="eastAsia" w:ascii="宋体" w:hAnsi="宋体" w:eastAsia="宋体" w:cs="宋体"/>
                <w:i w:val="0"/>
                <w:iCs w:val="0"/>
                <w:color w:val="000000"/>
                <w:sz w:val="21"/>
                <w:szCs w:val="21"/>
                <w:highlight w:val="none"/>
                <w:u w:val="none"/>
              </w:rPr>
            </w:pPr>
          </w:p>
        </w:tc>
      </w:tr>
      <w:tr w14:paraId="5E003C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6CCA4E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13</w:t>
            </w:r>
          </w:p>
        </w:tc>
        <w:tc>
          <w:tcPr>
            <w:tcW w:w="1674" w:type="dxa"/>
            <w:tcBorders>
              <w:tl2br w:val="nil"/>
              <w:tr2bl w:val="nil"/>
            </w:tcBorders>
            <w:shd w:val="clear" w:color="auto" w:fill="auto"/>
            <w:vAlign w:val="center"/>
          </w:tcPr>
          <w:p w14:paraId="18408A6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血糖</w:t>
            </w:r>
          </w:p>
        </w:tc>
        <w:tc>
          <w:tcPr>
            <w:tcW w:w="3876" w:type="dxa"/>
            <w:tcBorders>
              <w:tl2br w:val="nil"/>
              <w:tr2bl w:val="nil"/>
            </w:tcBorders>
            <w:shd w:val="clear" w:color="auto" w:fill="auto"/>
            <w:vAlign w:val="center"/>
          </w:tcPr>
          <w:p w14:paraId="4D519AA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空腹血糖</w:t>
            </w:r>
          </w:p>
        </w:tc>
        <w:tc>
          <w:tcPr>
            <w:tcW w:w="1632" w:type="dxa"/>
            <w:tcBorders>
              <w:tl2br w:val="nil"/>
              <w:tr2bl w:val="nil"/>
            </w:tcBorders>
            <w:shd w:val="clear" w:color="auto" w:fill="auto"/>
            <w:vAlign w:val="center"/>
          </w:tcPr>
          <w:p w14:paraId="108E1828">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205A34C8">
            <w:pPr>
              <w:jc w:val="center"/>
              <w:rPr>
                <w:rFonts w:hint="eastAsia" w:ascii="宋体" w:hAnsi="宋体" w:eastAsia="宋体" w:cs="宋体"/>
                <w:i w:val="0"/>
                <w:iCs w:val="0"/>
                <w:color w:val="000000"/>
                <w:sz w:val="21"/>
                <w:szCs w:val="21"/>
                <w:highlight w:val="none"/>
                <w:u w:val="none"/>
              </w:rPr>
            </w:pPr>
          </w:p>
        </w:tc>
      </w:tr>
      <w:tr w14:paraId="1D84333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7B69ACC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14</w:t>
            </w:r>
          </w:p>
        </w:tc>
        <w:tc>
          <w:tcPr>
            <w:tcW w:w="1674" w:type="dxa"/>
            <w:tcBorders>
              <w:tl2br w:val="nil"/>
              <w:tr2bl w:val="nil"/>
            </w:tcBorders>
            <w:shd w:val="clear" w:color="auto" w:fill="auto"/>
            <w:vAlign w:val="center"/>
          </w:tcPr>
          <w:p w14:paraId="7884651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定性糖尿病</w:t>
            </w:r>
          </w:p>
        </w:tc>
        <w:tc>
          <w:tcPr>
            <w:tcW w:w="3876" w:type="dxa"/>
            <w:tcBorders>
              <w:tl2br w:val="nil"/>
              <w:tr2bl w:val="nil"/>
            </w:tcBorders>
            <w:shd w:val="clear" w:color="auto" w:fill="auto"/>
            <w:vAlign w:val="center"/>
          </w:tcPr>
          <w:p w14:paraId="02ABF1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糖化血红蛋白(HbA1C)</w:t>
            </w:r>
          </w:p>
        </w:tc>
        <w:tc>
          <w:tcPr>
            <w:tcW w:w="1632" w:type="dxa"/>
            <w:tcBorders>
              <w:tl2br w:val="nil"/>
              <w:tr2bl w:val="nil"/>
            </w:tcBorders>
            <w:shd w:val="clear" w:color="auto" w:fill="auto"/>
            <w:vAlign w:val="center"/>
          </w:tcPr>
          <w:p w14:paraId="0580A4DE">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7ED5A8BB">
            <w:pPr>
              <w:jc w:val="center"/>
              <w:rPr>
                <w:rFonts w:hint="eastAsia" w:ascii="宋体" w:hAnsi="宋体" w:eastAsia="宋体" w:cs="宋体"/>
                <w:i w:val="0"/>
                <w:iCs w:val="0"/>
                <w:color w:val="000000"/>
                <w:sz w:val="21"/>
                <w:szCs w:val="21"/>
                <w:highlight w:val="none"/>
                <w:u w:val="none"/>
              </w:rPr>
            </w:pPr>
          </w:p>
        </w:tc>
      </w:tr>
      <w:tr w14:paraId="1C10F0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5E105F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15</w:t>
            </w:r>
          </w:p>
        </w:tc>
        <w:tc>
          <w:tcPr>
            <w:tcW w:w="1674" w:type="dxa"/>
            <w:vMerge w:val="restart"/>
            <w:tcBorders>
              <w:tl2br w:val="nil"/>
              <w:tr2bl w:val="nil"/>
            </w:tcBorders>
            <w:shd w:val="clear" w:color="auto" w:fill="auto"/>
            <w:vAlign w:val="center"/>
          </w:tcPr>
          <w:p w14:paraId="39D32E7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肿瘤筛查七项</w:t>
            </w:r>
          </w:p>
        </w:tc>
        <w:tc>
          <w:tcPr>
            <w:tcW w:w="3876" w:type="dxa"/>
            <w:tcBorders>
              <w:tl2br w:val="nil"/>
              <w:tr2bl w:val="nil"/>
            </w:tcBorders>
            <w:shd w:val="clear" w:color="auto" w:fill="auto"/>
            <w:vAlign w:val="center"/>
          </w:tcPr>
          <w:p w14:paraId="27BF33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癌胚抗原</w:t>
            </w:r>
            <w:r>
              <w:rPr>
                <w:rFonts w:hint="default" w:ascii="Times New Roman" w:hAnsi="Times New Roman" w:eastAsia="宋体" w:cs="Times New Roman"/>
                <w:i w:val="0"/>
                <w:iCs w:val="0"/>
                <w:color w:val="000000"/>
                <w:kern w:val="0"/>
                <w:sz w:val="21"/>
                <w:szCs w:val="21"/>
                <w:highlight w:val="none"/>
                <w:u w:val="none"/>
                <w:lang w:val="en-US" w:eastAsia="zh-CN" w:bidi="ar"/>
              </w:rPr>
              <w:t>CEA(</w:t>
            </w:r>
            <w:r>
              <w:rPr>
                <w:rFonts w:hint="eastAsia" w:ascii="宋体" w:hAnsi="宋体" w:eastAsia="宋体" w:cs="宋体"/>
                <w:i w:val="0"/>
                <w:iCs w:val="0"/>
                <w:color w:val="000000"/>
                <w:kern w:val="0"/>
                <w:sz w:val="21"/>
                <w:szCs w:val="21"/>
                <w:highlight w:val="none"/>
                <w:u w:val="none"/>
                <w:lang w:val="en-US" w:eastAsia="zh-CN" w:bidi="ar"/>
              </w:rPr>
              <w:t>定量</w:t>
            </w: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632" w:type="dxa"/>
            <w:tcBorders>
              <w:tl2br w:val="nil"/>
              <w:tr2bl w:val="nil"/>
            </w:tcBorders>
            <w:shd w:val="clear" w:color="auto" w:fill="auto"/>
            <w:vAlign w:val="center"/>
          </w:tcPr>
          <w:p w14:paraId="45D4C98E">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2C3E4264">
            <w:pPr>
              <w:jc w:val="center"/>
              <w:rPr>
                <w:rFonts w:hint="eastAsia" w:ascii="宋体" w:hAnsi="宋体" w:eastAsia="宋体" w:cs="宋体"/>
                <w:i w:val="0"/>
                <w:iCs w:val="0"/>
                <w:color w:val="000000"/>
                <w:sz w:val="21"/>
                <w:szCs w:val="21"/>
                <w:highlight w:val="none"/>
                <w:u w:val="none"/>
              </w:rPr>
            </w:pPr>
          </w:p>
        </w:tc>
      </w:tr>
      <w:tr w14:paraId="5B37FE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230138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16</w:t>
            </w:r>
          </w:p>
        </w:tc>
        <w:tc>
          <w:tcPr>
            <w:tcW w:w="1674" w:type="dxa"/>
            <w:vMerge w:val="continue"/>
            <w:tcBorders>
              <w:tl2br w:val="nil"/>
              <w:tr2bl w:val="nil"/>
            </w:tcBorders>
            <w:shd w:val="clear" w:color="auto" w:fill="auto"/>
            <w:vAlign w:val="center"/>
          </w:tcPr>
          <w:p w14:paraId="40CDEBCE">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51369AD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甲胎蛋白</w:t>
            </w:r>
            <w:r>
              <w:rPr>
                <w:rFonts w:hint="default" w:ascii="Times New Roman" w:hAnsi="Times New Roman" w:eastAsia="宋体" w:cs="Times New Roman"/>
                <w:i w:val="0"/>
                <w:iCs w:val="0"/>
                <w:color w:val="000000"/>
                <w:kern w:val="0"/>
                <w:sz w:val="21"/>
                <w:szCs w:val="21"/>
                <w:highlight w:val="none"/>
                <w:u w:val="none"/>
                <w:lang w:val="en-US" w:eastAsia="zh-CN" w:bidi="ar"/>
              </w:rPr>
              <w:t>AFP</w:t>
            </w:r>
            <w:r>
              <w:rPr>
                <w:rFonts w:hint="eastAsia" w:ascii="宋体" w:hAnsi="宋体" w:eastAsia="宋体" w:cs="宋体"/>
                <w:i w:val="0"/>
                <w:iCs w:val="0"/>
                <w:color w:val="000000"/>
                <w:kern w:val="0"/>
                <w:sz w:val="21"/>
                <w:szCs w:val="21"/>
                <w:highlight w:val="none"/>
                <w:u w:val="none"/>
                <w:lang w:val="en-US" w:eastAsia="zh-CN" w:bidi="ar"/>
              </w:rPr>
              <w:t>（定量）</w:t>
            </w:r>
          </w:p>
        </w:tc>
        <w:tc>
          <w:tcPr>
            <w:tcW w:w="1632" w:type="dxa"/>
            <w:tcBorders>
              <w:tl2br w:val="nil"/>
              <w:tr2bl w:val="nil"/>
            </w:tcBorders>
            <w:shd w:val="clear" w:color="auto" w:fill="auto"/>
            <w:vAlign w:val="center"/>
          </w:tcPr>
          <w:p w14:paraId="37FE620D">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509CD145">
            <w:pPr>
              <w:jc w:val="center"/>
              <w:rPr>
                <w:rFonts w:hint="eastAsia" w:ascii="宋体" w:hAnsi="宋体" w:eastAsia="宋体" w:cs="宋体"/>
                <w:i w:val="0"/>
                <w:iCs w:val="0"/>
                <w:color w:val="000000"/>
                <w:sz w:val="21"/>
                <w:szCs w:val="21"/>
                <w:highlight w:val="none"/>
                <w:u w:val="none"/>
              </w:rPr>
            </w:pPr>
          </w:p>
        </w:tc>
      </w:tr>
      <w:tr w14:paraId="04BC18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3DEC9B2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17</w:t>
            </w:r>
          </w:p>
        </w:tc>
        <w:tc>
          <w:tcPr>
            <w:tcW w:w="1674" w:type="dxa"/>
            <w:vMerge w:val="continue"/>
            <w:tcBorders>
              <w:tl2br w:val="nil"/>
              <w:tr2bl w:val="nil"/>
            </w:tcBorders>
            <w:shd w:val="clear" w:color="auto" w:fill="auto"/>
            <w:vAlign w:val="center"/>
          </w:tcPr>
          <w:p w14:paraId="36269AB1">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0B432F5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242</w:t>
            </w:r>
          </w:p>
        </w:tc>
        <w:tc>
          <w:tcPr>
            <w:tcW w:w="1632" w:type="dxa"/>
            <w:tcBorders>
              <w:tl2br w:val="nil"/>
              <w:tr2bl w:val="nil"/>
            </w:tcBorders>
            <w:shd w:val="clear" w:color="auto" w:fill="auto"/>
            <w:vAlign w:val="center"/>
          </w:tcPr>
          <w:p w14:paraId="3B4F0C83">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E700E9E">
            <w:pPr>
              <w:jc w:val="center"/>
              <w:rPr>
                <w:rFonts w:hint="eastAsia" w:ascii="宋体" w:hAnsi="宋体" w:eastAsia="宋体" w:cs="宋体"/>
                <w:i w:val="0"/>
                <w:iCs w:val="0"/>
                <w:color w:val="000000"/>
                <w:sz w:val="21"/>
                <w:szCs w:val="21"/>
                <w:highlight w:val="none"/>
                <w:u w:val="none"/>
              </w:rPr>
            </w:pPr>
          </w:p>
        </w:tc>
      </w:tr>
      <w:tr w14:paraId="0C55A8D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6C05AF2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18</w:t>
            </w:r>
          </w:p>
        </w:tc>
        <w:tc>
          <w:tcPr>
            <w:tcW w:w="1674" w:type="dxa"/>
            <w:vMerge w:val="continue"/>
            <w:tcBorders>
              <w:tl2br w:val="nil"/>
              <w:tr2bl w:val="nil"/>
            </w:tcBorders>
            <w:shd w:val="clear" w:color="auto" w:fill="auto"/>
            <w:vAlign w:val="center"/>
          </w:tcPr>
          <w:p w14:paraId="44FDF2BE">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5EC1C5F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糖类抗原</w:t>
            </w:r>
            <w:r>
              <w:rPr>
                <w:rFonts w:hint="default" w:ascii="Times New Roman" w:hAnsi="Times New Roman" w:eastAsia="宋体" w:cs="Times New Roman"/>
                <w:i w:val="0"/>
                <w:iCs w:val="0"/>
                <w:color w:val="000000"/>
                <w:kern w:val="0"/>
                <w:sz w:val="21"/>
                <w:szCs w:val="21"/>
                <w:highlight w:val="none"/>
                <w:u w:val="none"/>
                <w:lang w:val="en-US" w:eastAsia="zh-CN" w:bidi="ar"/>
              </w:rPr>
              <w:t>125</w:t>
            </w:r>
          </w:p>
        </w:tc>
        <w:tc>
          <w:tcPr>
            <w:tcW w:w="1632" w:type="dxa"/>
            <w:tcBorders>
              <w:tl2br w:val="nil"/>
              <w:tr2bl w:val="nil"/>
            </w:tcBorders>
            <w:shd w:val="clear" w:color="auto" w:fill="auto"/>
            <w:vAlign w:val="center"/>
          </w:tcPr>
          <w:p w14:paraId="6AE0F2E7">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6674ED3E">
            <w:pPr>
              <w:jc w:val="center"/>
              <w:rPr>
                <w:rFonts w:hint="eastAsia" w:ascii="宋体" w:hAnsi="宋体" w:eastAsia="宋体" w:cs="宋体"/>
                <w:i w:val="0"/>
                <w:iCs w:val="0"/>
                <w:color w:val="000000"/>
                <w:sz w:val="21"/>
                <w:szCs w:val="21"/>
                <w:highlight w:val="none"/>
                <w:u w:val="none"/>
              </w:rPr>
            </w:pPr>
          </w:p>
        </w:tc>
      </w:tr>
      <w:tr w14:paraId="12D4E2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3C6E82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19</w:t>
            </w:r>
          </w:p>
        </w:tc>
        <w:tc>
          <w:tcPr>
            <w:tcW w:w="1674" w:type="dxa"/>
            <w:vMerge w:val="continue"/>
            <w:tcBorders>
              <w:tl2br w:val="nil"/>
              <w:tr2bl w:val="nil"/>
            </w:tcBorders>
            <w:shd w:val="clear" w:color="auto" w:fill="auto"/>
            <w:vAlign w:val="center"/>
          </w:tcPr>
          <w:p w14:paraId="3F49ED92">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42B5E40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神经元特异性烯醇化酶</w:t>
            </w:r>
          </w:p>
        </w:tc>
        <w:tc>
          <w:tcPr>
            <w:tcW w:w="1632" w:type="dxa"/>
            <w:tcBorders>
              <w:tl2br w:val="nil"/>
              <w:tr2bl w:val="nil"/>
            </w:tcBorders>
            <w:shd w:val="clear" w:color="auto" w:fill="auto"/>
            <w:vAlign w:val="center"/>
          </w:tcPr>
          <w:p w14:paraId="70873DAC">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0204E4C">
            <w:pPr>
              <w:jc w:val="center"/>
              <w:rPr>
                <w:rFonts w:hint="eastAsia" w:ascii="宋体" w:hAnsi="宋体" w:eastAsia="宋体" w:cs="宋体"/>
                <w:i w:val="0"/>
                <w:iCs w:val="0"/>
                <w:color w:val="000000"/>
                <w:sz w:val="21"/>
                <w:szCs w:val="21"/>
                <w:highlight w:val="none"/>
                <w:u w:val="none"/>
              </w:rPr>
            </w:pPr>
          </w:p>
        </w:tc>
      </w:tr>
      <w:tr w14:paraId="2F63111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0B9FB8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20</w:t>
            </w:r>
          </w:p>
        </w:tc>
        <w:tc>
          <w:tcPr>
            <w:tcW w:w="1674" w:type="dxa"/>
            <w:vMerge w:val="continue"/>
            <w:tcBorders>
              <w:tl2br w:val="nil"/>
              <w:tr2bl w:val="nil"/>
            </w:tcBorders>
            <w:shd w:val="clear" w:color="auto" w:fill="auto"/>
            <w:vAlign w:val="center"/>
          </w:tcPr>
          <w:p w14:paraId="5ADD7D4E">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0AC7A86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人绒毛膜促性腺激素游离</w:t>
            </w:r>
            <w:r>
              <w:rPr>
                <w:rFonts w:hint="default" w:ascii="Times New Roman" w:hAnsi="Times New Roman" w:eastAsia="宋体" w:cs="Times New Roman"/>
                <w:i w:val="0"/>
                <w:iCs w:val="0"/>
                <w:color w:val="000000"/>
                <w:kern w:val="0"/>
                <w:sz w:val="21"/>
                <w:szCs w:val="21"/>
                <w:highlight w:val="none"/>
                <w:u w:val="none"/>
                <w:lang w:val="en-US" w:eastAsia="zh-CN" w:bidi="ar"/>
              </w:rPr>
              <w:t>β</w:t>
            </w:r>
            <w:r>
              <w:rPr>
                <w:rFonts w:hint="eastAsia" w:ascii="宋体" w:hAnsi="宋体" w:eastAsia="宋体" w:cs="宋体"/>
                <w:i w:val="0"/>
                <w:iCs w:val="0"/>
                <w:color w:val="000000"/>
                <w:kern w:val="0"/>
                <w:sz w:val="21"/>
                <w:szCs w:val="21"/>
                <w:highlight w:val="none"/>
                <w:u w:val="none"/>
                <w:lang w:val="en-US" w:eastAsia="zh-CN" w:bidi="ar"/>
              </w:rPr>
              <w:t>亚基</w:t>
            </w:r>
          </w:p>
        </w:tc>
        <w:tc>
          <w:tcPr>
            <w:tcW w:w="1632" w:type="dxa"/>
            <w:tcBorders>
              <w:tl2br w:val="nil"/>
              <w:tr2bl w:val="nil"/>
            </w:tcBorders>
            <w:shd w:val="clear" w:color="auto" w:fill="auto"/>
            <w:vAlign w:val="center"/>
          </w:tcPr>
          <w:p w14:paraId="3CAB8AF5">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4F180821">
            <w:pPr>
              <w:jc w:val="center"/>
              <w:rPr>
                <w:rFonts w:hint="eastAsia" w:ascii="宋体" w:hAnsi="宋体" w:eastAsia="宋体" w:cs="宋体"/>
                <w:i w:val="0"/>
                <w:iCs w:val="0"/>
                <w:color w:val="000000"/>
                <w:sz w:val="21"/>
                <w:szCs w:val="21"/>
                <w:highlight w:val="none"/>
                <w:u w:val="none"/>
              </w:rPr>
            </w:pPr>
          </w:p>
        </w:tc>
      </w:tr>
      <w:tr w14:paraId="4FC508E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035ADE6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21</w:t>
            </w:r>
          </w:p>
        </w:tc>
        <w:tc>
          <w:tcPr>
            <w:tcW w:w="1674" w:type="dxa"/>
            <w:vMerge w:val="continue"/>
            <w:tcBorders>
              <w:tl2br w:val="nil"/>
              <w:tr2bl w:val="nil"/>
            </w:tcBorders>
            <w:shd w:val="clear" w:color="auto" w:fill="auto"/>
            <w:vAlign w:val="center"/>
          </w:tcPr>
          <w:p w14:paraId="22617FC6">
            <w:pPr>
              <w:jc w:val="center"/>
              <w:rPr>
                <w:rFonts w:hint="eastAsia" w:ascii="宋体" w:hAnsi="宋体" w:eastAsia="宋体" w:cs="宋体"/>
                <w:i w:val="0"/>
                <w:iCs w:val="0"/>
                <w:color w:val="000000"/>
                <w:sz w:val="21"/>
                <w:szCs w:val="21"/>
                <w:highlight w:val="none"/>
                <w:u w:val="none"/>
              </w:rPr>
            </w:pPr>
          </w:p>
        </w:tc>
        <w:tc>
          <w:tcPr>
            <w:tcW w:w="3876" w:type="dxa"/>
            <w:tcBorders>
              <w:tl2br w:val="nil"/>
              <w:tr2bl w:val="nil"/>
            </w:tcBorders>
            <w:shd w:val="clear" w:color="auto" w:fill="auto"/>
            <w:vAlign w:val="center"/>
          </w:tcPr>
          <w:p w14:paraId="6A6FDB0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细胞角蛋白</w:t>
            </w:r>
          </w:p>
        </w:tc>
        <w:tc>
          <w:tcPr>
            <w:tcW w:w="1632" w:type="dxa"/>
            <w:tcBorders>
              <w:tl2br w:val="nil"/>
              <w:tr2bl w:val="nil"/>
            </w:tcBorders>
            <w:shd w:val="clear" w:color="auto" w:fill="auto"/>
            <w:vAlign w:val="center"/>
          </w:tcPr>
          <w:p w14:paraId="7A7AE2DE">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287EF4E">
            <w:pPr>
              <w:jc w:val="center"/>
              <w:rPr>
                <w:rFonts w:hint="eastAsia" w:ascii="宋体" w:hAnsi="宋体" w:eastAsia="宋体" w:cs="宋体"/>
                <w:i w:val="0"/>
                <w:iCs w:val="0"/>
                <w:color w:val="000000"/>
                <w:sz w:val="21"/>
                <w:szCs w:val="21"/>
                <w:highlight w:val="none"/>
                <w:u w:val="none"/>
              </w:rPr>
            </w:pPr>
          </w:p>
        </w:tc>
      </w:tr>
      <w:tr w14:paraId="04F98C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07EACC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22</w:t>
            </w:r>
          </w:p>
        </w:tc>
        <w:tc>
          <w:tcPr>
            <w:tcW w:w="1674" w:type="dxa"/>
            <w:tcBorders>
              <w:tl2br w:val="nil"/>
              <w:tr2bl w:val="nil"/>
            </w:tcBorders>
            <w:shd w:val="clear" w:color="auto" w:fill="auto"/>
            <w:vAlign w:val="center"/>
          </w:tcPr>
          <w:p w14:paraId="51BFB6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血常规</w:t>
            </w:r>
          </w:p>
        </w:tc>
        <w:tc>
          <w:tcPr>
            <w:tcW w:w="3876" w:type="dxa"/>
            <w:tcBorders>
              <w:tl2br w:val="nil"/>
              <w:tr2bl w:val="nil"/>
            </w:tcBorders>
            <w:shd w:val="clear" w:color="auto" w:fill="auto"/>
            <w:vAlign w:val="center"/>
          </w:tcPr>
          <w:p w14:paraId="28924A0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红细胞计数</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w:t>
            </w:r>
            <w:r>
              <w:rPr>
                <w:rFonts w:hint="default" w:ascii="Times New Roman" w:hAnsi="Times New Roman" w:eastAsia="宋体" w:cs="Times New Roman"/>
                <w:i w:val="0"/>
                <w:iCs w:val="0"/>
                <w:color w:val="000000"/>
                <w:kern w:val="0"/>
                <w:sz w:val="21"/>
                <w:szCs w:val="21"/>
                <w:highlight w:val="none"/>
                <w:u w:val="none"/>
                <w:lang w:val="en-US" w:eastAsia="zh-CN" w:bidi="ar"/>
              </w:rPr>
              <w:t>RBC</w:t>
            </w:r>
            <w:r>
              <w:rPr>
                <w:rFonts w:hint="eastAsia" w:ascii="宋体" w:hAnsi="宋体" w:eastAsia="宋体" w:cs="宋体"/>
                <w:i w:val="0"/>
                <w:iCs w:val="0"/>
                <w:color w:val="000000"/>
                <w:kern w:val="0"/>
                <w:sz w:val="21"/>
                <w:szCs w:val="21"/>
                <w:highlight w:val="none"/>
                <w:u w:val="none"/>
                <w:lang w:val="en-US" w:eastAsia="zh-CN" w:bidi="ar"/>
              </w:rPr>
              <w:t>）、红细胞压积（</w:t>
            </w:r>
            <w:r>
              <w:rPr>
                <w:rFonts w:hint="default" w:ascii="Times New Roman" w:hAnsi="Times New Roman" w:eastAsia="宋体" w:cs="Times New Roman"/>
                <w:i w:val="0"/>
                <w:iCs w:val="0"/>
                <w:color w:val="000000"/>
                <w:kern w:val="0"/>
                <w:sz w:val="21"/>
                <w:szCs w:val="21"/>
                <w:highlight w:val="none"/>
                <w:u w:val="none"/>
                <w:lang w:val="en-US" w:eastAsia="zh-CN" w:bidi="ar"/>
              </w:rPr>
              <w:t>HCT</w:t>
            </w:r>
            <w:r>
              <w:rPr>
                <w:rFonts w:hint="eastAsia" w:ascii="宋体" w:hAnsi="宋体" w:eastAsia="宋体" w:cs="宋体"/>
                <w:i w:val="0"/>
                <w:iCs w:val="0"/>
                <w:color w:val="000000"/>
                <w:kern w:val="0"/>
                <w:sz w:val="21"/>
                <w:szCs w:val="21"/>
                <w:highlight w:val="none"/>
                <w:u w:val="none"/>
                <w:lang w:val="en-US" w:eastAsia="zh-CN" w:bidi="ar"/>
              </w:rPr>
              <w:t>）、平均血红蛋白浓度（</w:t>
            </w:r>
            <w:r>
              <w:rPr>
                <w:rFonts w:hint="default" w:ascii="Times New Roman" w:hAnsi="Times New Roman" w:eastAsia="宋体" w:cs="Times New Roman"/>
                <w:i w:val="0"/>
                <w:iCs w:val="0"/>
                <w:color w:val="000000"/>
                <w:kern w:val="0"/>
                <w:sz w:val="21"/>
                <w:szCs w:val="21"/>
                <w:highlight w:val="none"/>
                <w:u w:val="none"/>
                <w:lang w:val="en-US" w:eastAsia="zh-CN" w:bidi="ar"/>
              </w:rPr>
              <w:t>MCHC</w:t>
            </w:r>
            <w:r>
              <w:rPr>
                <w:rFonts w:hint="eastAsia" w:ascii="宋体" w:hAnsi="宋体" w:eastAsia="宋体" w:cs="宋体"/>
                <w:i w:val="0"/>
                <w:iCs w:val="0"/>
                <w:color w:val="000000"/>
                <w:kern w:val="0"/>
                <w:sz w:val="21"/>
                <w:szCs w:val="21"/>
                <w:highlight w:val="none"/>
                <w:u w:val="none"/>
                <w:lang w:val="en-US" w:eastAsia="zh-CN" w:bidi="ar"/>
              </w:rPr>
              <w:t>）等</w:t>
            </w:r>
            <w:r>
              <w:rPr>
                <w:rFonts w:hint="default" w:ascii="Times New Roman" w:hAnsi="Times New Roman" w:eastAsia="宋体" w:cs="Times New Roman"/>
                <w:i w:val="0"/>
                <w:iCs w:val="0"/>
                <w:color w:val="000000"/>
                <w:kern w:val="0"/>
                <w:sz w:val="21"/>
                <w:szCs w:val="21"/>
                <w:highlight w:val="none"/>
                <w:u w:val="none"/>
                <w:lang w:val="en-US" w:eastAsia="zh-CN" w:bidi="ar"/>
              </w:rPr>
              <w:t>19</w:t>
            </w:r>
            <w:r>
              <w:rPr>
                <w:rFonts w:hint="eastAsia" w:ascii="宋体" w:hAnsi="宋体" w:eastAsia="宋体" w:cs="宋体"/>
                <w:i w:val="0"/>
                <w:iCs w:val="0"/>
                <w:color w:val="000000"/>
                <w:kern w:val="0"/>
                <w:sz w:val="21"/>
                <w:szCs w:val="21"/>
                <w:highlight w:val="none"/>
                <w:u w:val="none"/>
                <w:lang w:val="en-US" w:eastAsia="zh-CN" w:bidi="ar"/>
              </w:rPr>
              <w:t>项。</w:t>
            </w:r>
          </w:p>
        </w:tc>
        <w:tc>
          <w:tcPr>
            <w:tcW w:w="1632" w:type="dxa"/>
            <w:tcBorders>
              <w:tl2br w:val="nil"/>
              <w:tr2bl w:val="nil"/>
            </w:tcBorders>
            <w:shd w:val="clear" w:color="auto" w:fill="auto"/>
            <w:vAlign w:val="center"/>
          </w:tcPr>
          <w:p w14:paraId="6E081B92">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656EA23B">
            <w:pPr>
              <w:jc w:val="center"/>
              <w:rPr>
                <w:rFonts w:hint="eastAsia" w:ascii="宋体" w:hAnsi="宋体" w:eastAsia="宋体" w:cs="宋体"/>
                <w:i w:val="0"/>
                <w:iCs w:val="0"/>
                <w:color w:val="000000"/>
                <w:sz w:val="21"/>
                <w:szCs w:val="21"/>
                <w:highlight w:val="none"/>
                <w:u w:val="none"/>
              </w:rPr>
            </w:pPr>
          </w:p>
        </w:tc>
      </w:tr>
      <w:tr w14:paraId="1DE1A62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752F8D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23</w:t>
            </w:r>
          </w:p>
        </w:tc>
        <w:tc>
          <w:tcPr>
            <w:tcW w:w="1674" w:type="dxa"/>
            <w:tcBorders>
              <w:tl2br w:val="nil"/>
              <w:tr2bl w:val="nil"/>
            </w:tcBorders>
            <w:shd w:val="clear" w:color="auto" w:fill="auto"/>
            <w:vAlign w:val="center"/>
          </w:tcPr>
          <w:p w14:paraId="3B02DDC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尿常规</w:t>
            </w:r>
          </w:p>
        </w:tc>
        <w:tc>
          <w:tcPr>
            <w:tcW w:w="3876" w:type="dxa"/>
            <w:tcBorders>
              <w:tl2br w:val="nil"/>
              <w:tr2bl w:val="nil"/>
            </w:tcBorders>
            <w:shd w:val="clear" w:color="auto" w:fill="auto"/>
            <w:vAlign w:val="center"/>
          </w:tcPr>
          <w:p w14:paraId="3630067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尿蛋白</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、尿糖</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、尿比重</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、尿酮体</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、尿胆红质</w:t>
            </w:r>
            <w:r>
              <w:rPr>
                <w:rFonts w:hint="default" w:ascii="Times New Roman" w:hAnsi="Times New Roman" w:eastAsia="宋体" w:cs="Times New Roman"/>
                <w:i w:val="0"/>
                <w:iCs w:val="0"/>
                <w:color w:val="000000"/>
                <w:kern w:val="0"/>
                <w:sz w:val="21"/>
                <w:szCs w:val="21"/>
                <w:highlight w:val="none"/>
                <w:u w:val="none"/>
                <w:lang w:val="en-US" w:eastAsia="zh-CN" w:bidi="ar"/>
              </w:rPr>
              <w:t xml:space="preserve"> </w:t>
            </w:r>
            <w:r>
              <w:rPr>
                <w:rFonts w:hint="eastAsia" w:ascii="宋体" w:hAnsi="宋体" w:eastAsia="宋体" w:cs="宋体"/>
                <w:i w:val="0"/>
                <w:iCs w:val="0"/>
                <w:color w:val="000000"/>
                <w:kern w:val="0"/>
                <w:sz w:val="21"/>
                <w:szCs w:val="21"/>
                <w:highlight w:val="none"/>
                <w:u w:val="none"/>
                <w:lang w:val="en-US" w:eastAsia="zh-CN" w:bidi="ar"/>
              </w:rPr>
              <w:t>、尿胆元等</w:t>
            </w:r>
            <w:r>
              <w:rPr>
                <w:rFonts w:hint="default" w:ascii="Times New Roman" w:hAnsi="Times New Roman" w:eastAsia="宋体" w:cs="Times New Roman"/>
                <w:i w:val="0"/>
                <w:iCs w:val="0"/>
                <w:color w:val="000000"/>
                <w:kern w:val="0"/>
                <w:sz w:val="21"/>
                <w:szCs w:val="21"/>
                <w:highlight w:val="none"/>
                <w:u w:val="none"/>
                <w:lang w:val="en-US" w:eastAsia="zh-CN" w:bidi="ar"/>
              </w:rPr>
              <w:t>10</w:t>
            </w:r>
            <w:r>
              <w:rPr>
                <w:rFonts w:hint="eastAsia" w:ascii="宋体" w:hAnsi="宋体" w:eastAsia="宋体" w:cs="宋体"/>
                <w:i w:val="0"/>
                <w:iCs w:val="0"/>
                <w:color w:val="000000"/>
                <w:kern w:val="0"/>
                <w:sz w:val="21"/>
                <w:szCs w:val="21"/>
                <w:highlight w:val="none"/>
                <w:u w:val="none"/>
                <w:lang w:val="en-US" w:eastAsia="zh-CN" w:bidi="ar"/>
              </w:rPr>
              <w:t>项</w:t>
            </w:r>
          </w:p>
        </w:tc>
        <w:tc>
          <w:tcPr>
            <w:tcW w:w="1632" w:type="dxa"/>
            <w:tcBorders>
              <w:tl2br w:val="nil"/>
              <w:tr2bl w:val="nil"/>
            </w:tcBorders>
            <w:shd w:val="clear" w:color="auto" w:fill="auto"/>
            <w:vAlign w:val="center"/>
          </w:tcPr>
          <w:p w14:paraId="735FDF8C">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12E7DD08">
            <w:pPr>
              <w:jc w:val="center"/>
              <w:rPr>
                <w:rFonts w:hint="eastAsia" w:ascii="宋体" w:hAnsi="宋体" w:eastAsia="宋体" w:cs="宋体"/>
                <w:i w:val="0"/>
                <w:iCs w:val="0"/>
                <w:color w:val="000000"/>
                <w:sz w:val="21"/>
                <w:szCs w:val="21"/>
                <w:highlight w:val="none"/>
                <w:u w:val="none"/>
              </w:rPr>
            </w:pPr>
          </w:p>
        </w:tc>
      </w:tr>
      <w:tr w14:paraId="0AC644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0847B4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24</w:t>
            </w:r>
          </w:p>
        </w:tc>
        <w:tc>
          <w:tcPr>
            <w:tcW w:w="1674" w:type="dxa"/>
            <w:tcBorders>
              <w:tl2br w:val="nil"/>
              <w:tr2bl w:val="nil"/>
            </w:tcBorders>
            <w:shd w:val="clear" w:color="auto" w:fill="auto"/>
            <w:vAlign w:val="center"/>
          </w:tcPr>
          <w:p w14:paraId="1E3AD04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w:t>
            </w:r>
          </w:p>
        </w:tc>
        <w:tc>
          <w:tcPr>
            <w:tcW w:w="3876" w:type="dxa"/>
            <w:tcBorders>
              <w:tl2br w:val="nil"/>
              <w:tr2bl w:val="nil"/>
            </w:tcBorders>
            <w:shd w:val="clear" w:color="auto" w:fill="auto"/>
            <w:vAlign w:val="center"/>
          </w:tcPr>
          <w:p w14:paraId="0CFC6D5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肝胆脾胰双肾，甲状腺彩超</w:t>
            </w:r>
          </w:p>
        </w:tc>
        <w:tc>
          <w:tcPr>
            <w:tcW w:w="1632" w:type="dxa"/>
            <w:tcBorders>
              <w:tl2br w:val="nil"/>
              <w:tr2bl w:val="nil"/>
            </w:tcBorders>
            <w:shd w:val="clear" w:color="auto" w:fill="auto"/>
            <w:vAlign w:val="center"/>
          </w:tcPr>
          <w:p w14:paraId="1C6E54BA">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203293E1">
            <w:pPr>
              <w:jc w:val="center"/>
              <w:rPr>
                <w:rFonts w:hint="eastAsia" w:ascii="宋体" w:hAnsi="宋体" w:eastAsia="宋体" w:cs="宋体"/>
                <w:i w:val="0"/>
                <w:iCs w:val="0"/>
                <w:color w:val="000000"/>
                <w:sz w:val="21"/>
                <w:szCs w:val="21"/>
                <w:highlight w:val="none"/>
                <w:u w:val="none"/>
              </w:rPr>
            </w:pPr>
          </w:p>
        </w:tc>
      </w:tr>
      <w:tr w14:paraId="3DE9F78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00" w:hRule="atLeast"/>
          <w:jc w:val="center"/>
        </w:trPr>
        <w:tc>
          <w:tcPr>
            <w:tcW w:w="768" w:type="dxa"/>
            <w:tcBorders>
              <w:tl2br w:val="nil"/>
              <w:tr2bl w:val="nil"/>
            </w:tcBorders>
            <w:shd w:val="clear" w:color="auto" w:fill="auto"/>
            <w:vAlign w:val="center"/>
          </w:tcPr>
          <w:p w14:paraId="755F44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25</w:t>
            </w:r>
          </w:p>
        </w:tc>
        <w:tc>
          <w:tcPr>
            <w:tcW w:w="1674" w:type="dxa"/>
            <w:tcBorders>
              <w:tl2br w:val="nil"/>
              <w:tr2bl w:val="nil"/>
            </w:tcBorders>
            <w:shd w:val="clear" w:color="auto" w:fill="auto"/>
            <w:vAlign w:val="center"/>
          </w:tcPr>
          <w:p w14:paraId="47965712">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智能心贴动态监测（半小时）</w:t>
            </w:r>
          </w:p>
        </w:tc>
        <w:tc>
          <w:tcPr>
            <w:tcW w:w="3876" w:type="dxa"/>
            <w:tcBorders>
              <w:tl2br w:val="nil"/>
              <w:tr2bl w:val="nil"/>
            </w:tcBorders>
            <w:shd w:val="clear" w:color="auto" w:fill="auto"/>
            <w:vAlign w:val="center"/>
          </w:tcPr>
          <w:p w14:paraId="0C46287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诊断偶发性、隐匿性的及部分容易导致猝死的恶性心率异常</w:t>
            </w:r>
          </w:p>
        </w:tc>
        <w:tc>
          <w:tcPr>
            <w:tcW w:w="1632" w:type="dxa"/>
            <w:tcBorders>
              <w:tl2br w:val="nil"/>
              <w:tr2bl w:val="nil"/>
            </w:tcBorders>
            <w:shd w:val="clear" w:color="auto" w:fill="auto"/>
            <w:vAlign w:val="center"/>
          </w:tcPr>
          <w:p w14:paraId="7F2ED459">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21E19328">
            <w:pPr>
              <w:jc w:val="center"/>
              <w:rPr>
                <w:rFonts w:hint="eastAsia" w:ascii="宋体" w:hAnsi="宋体" w:eastAsia="宋体" w:cs="宋体"/>
                <w:i w:val="0"/>
                <w:iCs w:val="0"/>
                <w:color w:val="000000"/>
                <w:sz w:val="21"/>
                <w:szCs w:val="21"/>
                <w:highlight w:val="none"/>
                <w:u w:val="none"/>
              </w:rPr>
            </w:pPr>
          </w:p>
        </w:tc>
      </w:tr>
      <w:tr w14:paraId="3F59AD8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15EB4F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26</w:t>
            </w:r>
          </w:p>
        </w:tc>
        <w:tc>
          <w:tcPr>
            <w:tcW w:w="1674" w:type="dxa"/>
            <w:tcBorders>
              <w:tl2br w:val="nil"/>
              <w:tr2bl w:val="nil"/>
            </w:tcBorders>
            <w:shd w:val="clear" w:color="auto" w:fill="auto"/>
            <w:vAlign w:val="center"/>
          </w:tcPr>
          <w:p w14:paraId="6823AF3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超敏c-反应蛋白</w:t>
            </w:r>
          </w:p>
        </w:tc>
        <w:tc>
          <w:tcPr>
            <w:tcW w:w="3876" w:type="dxa"/>
            <w:tcBorders>
              <w:tl2br w:val="nil"/>
              <w:tr2bl w:val="nil"/>
            </w:tcBorders>
            <w:shd w:val="clear" w:color="auto" w:fill="auto"/>
            <w:vAlign w:val="center"/>
          </w:tcPr>
          <w:p w14:paraId="31E547E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该数值指标可明确人体炎症反应严重程度，可进行评估冠状动脉粥样硬化性心脏病。</w:t>
            </w:r>
          </w:p>
        </w:tc>
        <w:tc>
          <w:tcPr>
            <w:tcW w:w="1632" w:type="dxa"/>
            <w:tcBorders>
              <w:tl2br w:val="nil"/>
              <w:tr2bl w:val="nil"/>
            </w:tcBorders>
            <w:shd w:val="clear" w:color="auto" w:fill="auto"/>
            <w:vAlign w:val="center"/>
          </w:tcPr>
          <w:p w14:paraId="2AB29761">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583AA2E2">
            <w:pPr>
              <w:jc w:val="center"/>
              <w:rPr>
                <w:rFonts w:hint="eastAsia" w:ascii="宋体" w:hAnsi="宋体" w:eastAsia="宋体" w:cs="宋体"/>
                <w:i w:val="0"/>
                <w:iCs w:val="0"/>
                <w:color w:val="000000"/>
                <w:sz w:val="21"/>
                <w:szCs w:val="21"/>
                <w:highlight w:val="none"/>
                <w:u w:val="none"/>
              </w:rPr>
            </w:pPr>
          </w:p>
        </w:tc>
      </w:tr>
      <w:tr w14:paraId="2438BF4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3EFFF8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27</w:t>
            </w:r>
          </w:p>
        </w:tc>
        <w:tc>
          <w:tcPr>
            <w:tcW w:w="1674" w:type="dxa"/>
            <w:vMerge w:val="restart"/>
            <w:tcBorders>
              <w:tl2br w:val="nil"/>
              <w:tr2bl w:val="nil"/>
            </w:tcBorders>
            <w:shd w:val="clear" w:color="auto" w:fill="auto"/>
            <w:vAlign w:val="center"/>
          </w:tcPr>
          <w:p w14:paraId="3620650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X</w:t>
            </w:r>
            <w:r>
              <w:rPr>
                <w:rFonts w:hint="eastAsia" w:ascii="宋体" w:hAnsi="宋体" w:eastAsia="宋体" w:cs="宋体"/>
                <w:i w:val="0"/>
                <w:iCs w:val="0"/>
                <w:color w:val="000000"/>
                <w:kern w:val="0"/>
                <w:sz w:val="21"/>
                <w:szCs w:val="21"/>
                <w:highlight w:val="none"/>
                <w:u w:val="none"/>
                <w:lang w:val="en-US" w:eastAsia="zh-CN" w:bidi="ar"/>
              </w:rPr>
              <w:t>线检查（高清DR）</w:t>
            </w:r>
          </w:p>
        </w:tc>
        <w:tc>
          <w:tcPr>
            <w:tcW w:w="3876" w:type="dxa"/>
            <w:tcBorders>
              <w:tl2br w:val="nil"/>
              <w:tr2bl w:val="nil"/>
            </w:tcBorders>
            <w:shd w:val="clear" w:color="auto" w:fill="auto"/>
            <w:vAlign w:val="center"/>
          </w:tcPr>
          <w:p w14:paraId="2AACF17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胸部正位片</w:t>
            </w:r>
          </w:p>
        </w:tc>
        <w:tc>
          <w:tcPr>
            <w:tcW w:w="1632" w:type="dxa"/>
            <w:tcBorders>
              <w:tl2br w:val="nil"/>
              <w:tr2bl w:val="nil"/>
            </w:tcBorders>
            <w:shd w:val="clear" w:color="auto" w:fill="auto"/>
            <w:vAlign w:val="center"/>
          </w:tcPr>
          <w:p w14:paraId="388DA4D7">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03BF27AC">
            <w:pPr>
              <w:jc w:val="center"/>
              <w:rPr>
                <w:rFonts w:hint="eastAsia" w:ascii="宋体" w:hAnsi="宋体" w:eastAsia="宋体" w:cs="宋体"/>
                <w:i w:val="0"/>
                <w:iCs w:val="0"/>
                <w:color w:val="000000"/>
                <w:sz w:val="21"/>
                <w:szCs w:val="21"/>
                <w:highlight w:val="none"/>
                <w:u w:val="none"/>
              </w:rPr>
            </w:pPr>
          </w:p>
        </w:tc>
      </w:tr>
      <w:tr w14:paraId="7CCA3B3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5DDFF4E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28</w:t>
            </w:r>
          </w:p>
        </w:tc>
        <w:tc>
          <w:tcPr>
            <w:tcW w:w="1674" w:type="dxa"/>
            <w:vMerge w:val="continue"/>
            <w:tcBorders>
              <w:tl2br w:val="nil"/>
              <w:tr2bl w:val="nil"/>
            </w:tcBorders>
            <w:shd w:val="clear" w:color="auto" w:fill="auto"/>
            <w:vAlign w:val="center"/>
          </w:tcPr>
          <w:p w14:paraId="2614A39C">
            <w:pPr>
              <w:jc w:val="center"/>
              <w:rPr>
                <w:rFonts w:hint="default" w:ascii="Times New Roman" w:hAnsi="Times New Roman" w:eastAsia="宋体" w:cs="Times New Roman"/>
                <w:i w:val="0"/>
                <w:iCs w:val="0"/>
                <w:color w:val="000000"/>
                <w:sz w:val="21"/>
                <w:szCs w:val="21"/>
                <w:highlight w:val="none"/>
                <w:u w:val="none"/>
              </w:rPr>
            </w:pPr>
          </w:p>
        </w:tc>
        <w:tc>
          <w:tcPr>
            <w:tcW w:w="3876" w:type="dxa"/>
            <w:tcBorders>
              <w:tl2br w:val="nil"/>
              <w:tr2bl w:val="nil"/>
            </w:tcBorders>
            <w:shd w:val="clear" w:color="auto" w:fill="auto"/>
            <w:vAlign w:val="center"/>
          </w:tcPr>
          <w:p w14:paraId="736070C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颈椎侧位片</w:t>
            </w:r>
          </w:p>
        </w:tc>
        <w:tc>
          <w:tcPr>
            <w:tcW w:w="1632" w:type="dxa"/>
            <w:tcBorders>
              <w:tl2br w:val="nil"/>
              <w:tr2bl w:val="nil"/>
            </w:tcBorders>
            <w:shd w:val="clear" w:color="auto" w:fill="auto"/>
            <w:vAlign w:val="center"/>
          </w:tcPr>
          <w:p w14:paraId="31199CF1">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15B1B889">
            <w:pPr>
              <w:jc w:val="center"/>
              <w:rPr>
                <w:rFonts w:hint="eastAsia" w:ascii="宋体" w:hAnsi="宋体" w:eastAsia="宋体" w:cs="宋体"/>
                <w:i w:val="0"/>
                <w:iCs w:val="0"/>
                <w:color w:val="000000"/>
                <w:sz w:val="21"/>
                <w:szCs w:val="21"/>
                <w:highlight w:val="none"/>
                <w:u w:val="none"/>
              </w:rPr>
            </w:pPr>
          </w:p>
        </w:tc>
      </w:tr>
      <w:tr w14:paraId="6FEB57F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789EEF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29</w:t>
            </w:r>
          </w:p>
        </w:tc>
        <w:tc>
          <w:tcPr>
            <w:tcW w:w="1674" w:type="dxa"/>
            <w:vMerge w:val="continue"/>
            <w:tcBorders>
              <w:tl2br w:val="nil"/>
              <w:tr2bl w:val="nil"/>
            </w:tcBorders>
            <w:shd w:val="clear" w:color="auto" w:fill="auto"/>
            <w:vAlign w:val="center"/>
          </w:tcPr>
          <w:p w14:paraId="4025215C">
            <w:pPr>
              <w:jc w:val="center"/>
              <w:rPr>
                <w:rFonts w:hint="default" w:ascii="Times New Roman" w:hAnsi="Times New Roman" w:eastAsia="宋体" w:cs="Times New Roman"/>
                <w:i w:val="0"/>
                <w:iCs w:val="0"/>
                <w:color w:val="000000"/>
                <w:sz w:val="21"/>
                <w:szCs w:val="21"/>
                <w:highlight w:val="none"/>
                <w:u w:val="none"/>
              </w:rPr>
            </w:pPr>
          </w:p>
        </w:tc>
        <w:tc>
          <w:tcPr>
            <w:tcW w:w="3876" w:type="dxa"/>
            <w:tcBorders>
              <w:tl2br w:val="nil"/>
              <w:tr2bl w:val="nil"/>
            </w:tcBorders>
            <w:shd w:val="clear" w:color="auto" w:fill="auto"/>
            <w:vAlign w:val="center"/>
          </w:tcPr>
          <w:p w14:paraId="44878EC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腰椎侧位片</w:t>
            </w:r>
          </w:p>
        </w:tc>
        <w:tc>
          <w:tcPr>
            <w:tcW w:w="1632" w:type="dxa"/>
            <w:tcBorders>
              <w:tl2br w:val="nil"/>
              <w:tr2bl w:val="nil"/>
            </w:tcBorders>
            <w:shd w:val="clear" w:color="auto" w:fill="auto"/>
            <w:vAlign w:val="center"/>
          </w:tcPr>
          <w:p w14:paraId="6657F54C">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7F1F857D">
            <w:pPr>
              <w:jc w:val="center"/>
              <w:rPr>
                <w:rFonts w:hint="eastAsia" w:ascii="宋体" w:hAnsi="宋体" w:eastAsia="宋体" w:cs="宋体"/>
                <w:i w:val="0"/>
                <w:iCs w:val="0"/>
                <w:color w:val="000000"/>
                <w:sz w:val="21"/>
                <w:szCs w:val="21"/>
                <w:highlight w:val="none"/>
                <w:u w:val="none"/>
              </w:rPr>
            </w:pPr>
          </w:p>
        </w:tc>
      </w:tr>
      <w:tr w14:paraId="1CC1660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5CE648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30</w:t>
            </w:r>
          </w:p>
        </w:tc>
        <w:tc>
          <w:tcPr>
            <w:tcW w:w="1674" w:type="dxa"/>
            <w:tcBorders>
              <w:tl2br w:val="nil"/>
              <w:tr2bl w:val="nil"/>
            </w:tcBorders>
            <w:shd w:val="clear" w:color="auto" w:fill="auto"/>
            <w:vAlign w:val="center"/>
          </w:tcPr>
          <w:p w14:paraId="3B8D8A5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男性员工彩超检查</w:t>
            </w:r>
          </w:p>
        </w:tc>
        <w:tc>
          <w:tcPr>
            <w:tcW w:w="3876" w:type="dxa"/>
            <w:tcBorders>
              <w:tl2br w:val="nil"/>
              <w:tr2bl w:val="nil"/>
            </w:tcBorders>
            <w:shd w:val="clear" w:color="auto" w:fill="auto"/>
            <w:vAlign w:val="center"/>
          </w:tcPr>
          <w:p w14:paraId="6D50764E">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前列腺彩超（彩超机）</w:t>
            </w:r>
          </w:p>
        </w:tc>
        <w:tc>
          <w:tcPr>
            <w:tcW w:w="1632" w:type="dxa"/>
            <w:tcBorders>
              <w:tl2br w:val="nil"/>
              <w:tr2bl w:val="nil"/>
            </w:tcBorders>
            <w:shd w:val="clear" w:color="auto" w:fill="auto"/>
            <w:vAlign w:val="center"/>
          </w:tcPr>
          <w:p w14:paraId="6A676590">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AD06F75">
            <w:pPr>
              <w:jc w:val="center"/>
              <w:rPr>
                <w:rFonts w:hint="eastAsia" w:ascii="宋体" w:hAnsi="宋体" w:eastAsia="宋体" w:cs="宋体"/>
                <w:i w:val="0"/>
                <w:iCs w:val="0"/>
                <w:color w:val="000000"/>
                <w:sz w:val="21"/>
                <w:szCs w:val="21"/>
                <w:highlight w:val="none"/>
                <w:u w:val="none"/>
              </w:rPr>
            </w:pPr>
          </w:p>
        </w:tc>
      </w:tr>
      <w:tr w14:paraId="4C587D4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25E64F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31</w:t>
            </w:r>
          </w:p>
        </w:tc>
        <w:tc>
          <w:tcPr>
            <w:tcW w:w="1674" w:type="dxa"/>
            <w:tcBorders>
              <w:tl2br w:val="nil"/>
              <w:tr2bl w:val="nil"/>
            </w:tcBorders>
            <w:shd w:val="clear" w:color="auto" w:fill="auto"/>
            <w:vAlign w:val="center"/>
          </w:tcPr>
          <w:p w14:paraId="68417DA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女性员工彩超检查</w:t>
            </w:r>
          </w:p>
        </w:tc>
        <w:tc>
          <w:tcPr>
            <w:tcW w:w="3876" w:type="dxa"/>
            <w:tcBorders>
              <w:tl2br w:val="nil"/>
              <w:tr2bl w:val="nil"/>
            </w:tcBorders>
            <w:shd w:val="clear" w:color="auto" w:fill="auto"/>
            <w:vAlign w:val="center"/>
          </w:tcPr>
          <w:p w14:paraId="3FACA57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彩超检查双侧乳腺（彩超机）</w:t>
            </w:r>
          </w:p>
        </w:tc>
        <w:tc>
          <w:tcPr>
            <w:tcW w:w="1632" w:type="dxa"/>
            <w:tcBorders>
              <w:tl2br w:val="nil"/>
              <w:tr2bl w:val="nil"/>
            </w:tcBorders>
            <w:shd w:val="clear" w:color="auto" w:fill="auto"/>
            <w:vAlign w:val="center"/>
          </w:tcPr>
          <w:p w14:paraId="7BBF1388">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3F9AEB83">
            <w:pPr>
              <w:jc w:val="center"/>
              <w:rPr>
                <w:rFonts w:hint="eastAsia" w:ascii="宋体" w:hAnsi="宋体" w:eastAsia="宋体" w:cs="宋体"/>
                <w:i w:val="0"/>
                <w:iCs w:val="0"/>
                <w:color w:val="000000"/>
                <w:sz w:val="21"/>
                <w:szCs w:val="21"/>
                <w:highlight w:val="none"/>
                <w:u w:val="none"/>
              </w:rPr>
            </w:pPr>
          </w:p>
        </w:tc>
      </w:tr>
      <w:tr w14:paraId="2695592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768" w:type="dxa"/>
            <w:tcBorders>
              <w:tl2br w:val="nil"/>
              <w:tr2bl w:val="nil"/>
            </w:tcBorders>
            <w:shd w:val="clear" w:color="auto" w:fill="auto"/>
            <w:vAlign w:val="center"/>
          </w:tcPr>
          <w:p w14:paraId="4C6FF4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32</w:t>
            </w:r>
          </w:p>
        </w:tc>
        <w:tc>
          <w:tcPr>
            <w:tcW w:w="1674" w:type="dxa"/>
            <w:tcBorders>
              <w:tl2br w:val="nil"/>
              <w:tr2bl w:val="nil"/>
            </w:tcBorders>
            <w:shd w:val="clear" w:color="auto" w:fill="auto"/>
            <w:vAlign w:val="center"/>
          </w:tcPr>
          <w:p w14:paraId="123ADBF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女性已婚员工彩超检查</w:t>
            </w:r>
          </w:p>
        </w:tc>
        <w:tc>
          <w:tcPr>
            <w:tcW w:w="3876" w:type="dxa"/>
            <w:tcBorders>
              <w:tl2br w:val="nil"/>
              <w:tr2bl w:val="nil"/>
            </w:tcBorders>
            <w:shd w:val="clear" w:color="auto" w:fill="auto"/>
            <w:vAlign w:val="center"/>
          </w:tcPr>
          <w:p w14:paraId="4FDFCB8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阴式彩超（阴彩有侵入性，不适合未婚的女士做此项目，未婚做子宫附件彩超）</w:t>
            </w:r>
          </w:p>
        </w:tc>
        <w:tc>
          <w:tcPr>
            <w:tcW w:w="1632" w:type="dxa"/>
            <w:tcBorders>
              <w:tl2br w:val="nil"/>
              <w:tr2bl w:val="nil"/>
            </w:tcBorders>
            <w:shd w:val="clear" w:color="auto" w:fill="auto"/>
            <w:vAlign w:val="center"/>
          </w:tcPr>
          <w:p w14:paraId="3F13FBFB">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4F0008B1">
            <w:pPr>
              <w:jc w:val="center"/>
              <w:rPr>
                <w:rFonts w:hint="eastAsia" w:ascii="宋体" w:hAnsi="宋体" w:eastAsia="宋体" w:cs="宋体"/>
                <w:i w:val="0"/>
                <w:iCs w:val="0"/>
                <w:color w:val="000000"/>
                <w:sz w:val="21"/>
                <w:szCs w:val="21"/>
                <w:highlight w:val="none"/>
                <w:u w:val="none"/>
              </w:rPr>
            </w:pPr>
          </w:p>
        </w:tc>
      </w:tr>
      <w:tr w14:paraId="7E234B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474C84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33</w:t>
            </w:r>
          </w:p>
        </w:tc>
        <w:tc>
          <w:tcPr>
            <w:tcW w:w="1674" w:type="dxa"/>
            <w:tcBorders>
              <w:tl2br w:val="nil"/>
              <w:tr2bl w:val="nil"/>
            </w:tcBorders>
            <w:shd w:val="clear" w:color="auto" w:fill="auto"/>
            <w:vAlign w:val="center"/>
          </w:tcPr>
          <w:p w14:paraId="4E6C1C96">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女性未婚员工彩超检查</w:t>
            </w:r>
          </w:p>
        </w:tc>
        <w:tc>
          <w:tcPr>
            <w:tcW w:w="3876" w:type="dxa"/>
            <w:tcBorders>
              <w:tl2br w:val="nil"/>
              <w:tr2bl w:val="nil"/>
            </w:tcBorders>
            <w:shd w:val="clear" w:color="auto" w:fill="auto"/>
            <w:vAlign w:val="center"/>
          </w:tcPr>
          <w:p w14:paraId="05B60D35">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子宫附件彩超</w:t>
            </w:r>
          </w:p>
        </w:tc>
        <w:tc>
          <w:tcPr>
            <w:tcW w:w="1632" w:type="dxa"/>
            <w:tcBorders>
              <w:tl2br w:val="nil"/>
              <w:tr2bl w:val="nil"/>
            </w:tcBorders>
            <w:shd w:val="clear" w:color="auto" w:fill="auto"/>
            <w:vAlign w:val="center"/>
          </w:tcPr>
          <w:p w14:paraId="12595830">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7445B9C6">
            <w:pPr>
              <w:jc w:val="center"/>
              <w:rPr>
                <w:rFonts w:hint="eastAsia" w:ascii="宋体" w:hAnsi="宋体" w:eastAsia="宋体" w:cs="宋体"/>
                <w:i w:val="0"/>
                <w:iCs w:val="0"/>
                <w:color w:val="000000"/>
                <w:sz w:val="21"/>
                <w:szCs w:val="21"/>
                <w:highlight w:val="none"/>
                <w:u w:val="none"/>
              </w:rPr>
            </w:pPr>
          </w:p>
        </w:tc>
      </w:tr>
      <w:tr w14:paraId="2C8048C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1502D38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34</w:t>
            </w:r>
          </w:p>
        </w:tc>
        <w:tc>
          <w:tcPr>
            <w:tcW w:w="1674" w:type="dxa"/>
            <w:tcBorders>
              <w:tl2br w:val="nil"/>
              <w:tr2bl w:val="nil"/>
            </w:tcBorders>
            <w:shd w:val="clear" w:color="auto" w:fill="auto"/>
            <w:vAlign w:val="center"/>
          </w:tcPr>
          <w:p w14:paraId="081E2FE7">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妇科检查</w:t>
            </w:r>
          </w:p>
        </w:tc>
        <w:tc>
          <w:tcPr>
            <w:tcW w:w="3876" w:type="dxa"/>
            <w:tcBorders>
              <w:tl2br w:val="nil"/>
              <w:tr2bl w:val="nil"/>
            </w:tcBorders>
            <w:shd w:val="clear" w:color="auto" w:fill="auto"/>
            <w:vAlign w:val="center"/>
          </w:tcPr>
          <w:p w14:paraId="72BD206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妇检</w:t>
            </w:r>
          </w:p>
        </w:tc>
        <w:tc>
          <w:tcPr>
            <w:tcW w:w="1632" w:type="dxa"/>
            <w:tcBorders>
              <w:tl2br w:val="nil"/>
              <w:tr2bl w:val="nil"/>
            </w:tcBorders>
            <w:shd w:val="clear" w:color="auto" w:fill="auto"/>
            <w:vAlign w:val="center"/>
          </w:tcPr>
          <w:p w14:paraId="5499012D">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2B0DDF7F">
            <w:pPr>
              <w:jc w:val="center"/>
              <w:rPr>
                <w:rFonts w:hint="eastAsia" w:ascii="宋体" w:hAnsi="宋体" w:eastAsia="宋体" w:cs="宋体"/>
                <w:i w:val="0"/>
                <w:iCs w:val="0"/>
                <w:color w:val="000000"/>
                <w:sz w:val="21"/>
                <w:szCs w:val="21"/>
                <w:highlight w:val="none"/>
                <w:u w:val="none"/>
              </w:rPr>
            </w:pPr>
          </w:p>
        </w:tc>
      </w:tr>
      <w:tr w14:paraId="053A232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0698F1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35</w:t>
            </w:r>
          </w:p>
        </w:tc>
        <w:tc>
          <w:tcPr>
            <w:tcW w:w="1674" w:type="dxa"/>
            <w:tcBorders>
              <w:tl2br w:val="nil"/>
              <w:tr2bl w:val="nil"/>
            </w:tcBorders>
            <w:shd w:val="clear" w:color="auto" w:fill="auto"/>
            <w:vAlign w:val="center"/>
          </w:tcPr>
          <w:p w14:paraId="0B987CAB">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c>
          <w:tcPr>
            <w:tcW w:w="3876" w:type="dxa"/>
            <w:tcBorders>
              <w:tl2br w:val="nil"/>
              <w:tr2bl w:val="nil"/>
            </w:tcBorders>
            <w:shd w:val="clear" w:color="auto" w:fill="auto"/>
            <w:vAlign w:val="center"/>
          </w:tcPr>
          <w:p w14:paraId="118A32AD">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白带常规</w:t>
            </w:r>
          </w:p>
        </w:tc>
        <w:tc>
          <w:tcPr>
            <w:tcW w:w="1632" w:type="dxa"/>
            <w:tcBorders>
              <w:tl2br w:val="nil"/>
              <w:tr2bl w:val="nil"/>
            </w:tcBorders>
            <w:shd w:val="clear" w:color="auto" w:fill="auto"/>
            <w:vAlign w:val="center"/>
          </w:tcPr>
          <w:p w14:paraId="2E65F113">
            <w:pPr>
              <w:jc w:val="center"/>
              <w:rPr>
                <w:rFonts w:hint="eastAsia" w:ascii="宋体" w:hAnsi="宋体" w:eastAsia="宋体" w:cs="宋体"/>
                <w:i w:val="0"/>
                <w:iCs w:val="0"/>
                <w:color w:val="000000"/>
                <w:sz w:val="21"/>
                <w:szCs w:val="21"/>
                <w:highlight w:val="none"/>
                <w:u w:val="none"/>
              </w:rPr>
            </w:pPr>
          </w:p>
        </w:tc>
        <w:tc>
          <w:tcPr>
            <w:tcW w:w="1746" w:type="dxa"/>
            <w:tcBorders>
              <w:tl2br w:val="nil"/>
              <w:tr2bl w:val="nil"/>
            </w:tcBorders>
            <w:shd w:val="clear" w:color="auto" w:fill="auto"/>
            <w:vAlign w:val="center"/>
          </w:tcPr>
          <w:p w14:paraId="0BA4A234">
            <w:pPr>
              <w:jc w:val="center"/>
              <w:rPr>
                <w:rFonts w:hint="eastAsia" w:ascii="宋体" w:hAnsi="宋体" w:eastAsia="宋体" w:cs="宋体"/>
                <w:i w:val="0"/>
                <w:iCs w:val="0"/>
                <w:color w:val="000000"/>
                <w:sz w:val="21"/>
                <w:szCs w:val="21"/>
                <w:highlight w:val="none"/>
                <w:u w:val="none"/>
              </w:rPr>
            </w:pPr>
          </w:p>
        </w:tc>
      </w:tr>
      <w:tr w14:paraId="4BEEF62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45F090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36</w:t>
            </w:r>
          </w:p>
        </w:tc>
        <w:tc>
          <w:tcPr>
            <w:tcW w:w="1674" w:type="dxa"/>
            <w:tcBorders>
              <w:tl2br w:val="nil"/>
              <w:tr2bl w:val="nil"/>
            </w:tcBorders>
            <w:shd w:val="clear" w:color="auto" w:fill="auto"/>
            <w:vAlign w:val="center"/>
          </w:tcPr>
          <w:p w14:paraId="5FA6F04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宫颈刮片</w:t>
            </w:r>
          </w:p>
        </w:tc>
        <w:tc>
          <w:tcPr>
            <w:tcW w:w="3876" w:type="dxa"/>
            <w:tcBorders>
              <w:tl2br w:val="nil"/>
              <w:tr2bl w:val="nil"/>
            </w:tcBorders>
            <w:shd w:val="clear" w:color="auto" w:fill="auto"/>
            <w:vAlign w:val="center"/>
          </w:tcPr>
          <w:p w14:paraId="4A6DE261">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宫颈疾病检查</w:t>
            </w:r>
          </w:p>
        </w:tc>
        <w:tc>
          <w:tcPr>
            <w:tcW w:w="1632" w:type="dxa"/>
            <w:tcBorders>
              <w:tl2br w:val="nil"/>
              <w:tr2bl w:val="nil"/>
            </w:tcBorders>
            <w:shd w:val="clear" w:color="auto" w:fill="auto"/>
            <w:vAlign w:val="center"/>
          </w:tcPr>
          <w:p w14:paraId="44F45647">
            <w:pPr>
              <w:jc w:val="center"/>
              <w:rPr>
                <w:rFonts w:hint="default" w:ascii="Times New Roman" w:hAnsi="Times New Roman" w:eastAsia="宋体" w:cs="Times New Roman"/>
                <w:i w:val="0"/>
                <w:iCs w:val="0"/>
                <w:color w:val="000000"/>
                <w:sz w:val="21"/>
                <w:szCs w:val="21"/>
                <w:highlight w:val="none"/>
                <w:u w:val="none"/>
              </w:rPr>
            </w:pPr>
          </w:p>
        </w:tc>
        <w:tc>
          <w:tcPr>
            <w:tcW w:w="1746" w:type="dxa"/>
            <w:tcBorders>
              <w:tl2br w:val="nil"/>
              <w:tr2bl w:val="nil"/>
            </w:tcBorders>
            <w:shd w:val="clear" w:color="auto" w:fill="auto"/>
            <w:vAlign w:val="center"/>
          </w:tcPr>
          <w:p w14:paraId="4F1CE931">
            <w:pPr>
              <w:jc w:val="center"/>
              <w:rPr>
                <w:rFonts w:hint="default" w:ascii="Times New Roman" w:hAnsi="Times New Roman" w:eastAsia="宋体" w:cs="Times New Roman"/>
                <w:i w:val="0"/>
                <w:iCs w:val="0"/>
                <w:color w:val="000000"/>
                <w:sz w:val="21"/>
                <w:szCs w:val="21"/>
                <w:highlight w:val="none"/>
                <w:u w:val="none"/>
              </w:rPr>
            </w:pPr>
          </w:p>
        </w:tc>
      </w:tr>
      <w:tr w14:paraId="113D312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44D45B5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序号</w:t>
            </w:r>
          </w:p>
        </w:tc>
        <w:tc>
          <w:tcPr>
            <w:tcW w:w="1674" w:type="dxa"/>
            <w:tcBorders>
              <w:tl2br w:val="nil"/>
              <w:tr2bl w:val="nil"/>
            </w:tcBorders>
            <w:shd w:val="clear" w:color="auto" w:fill="auto"/>
            <w:vAlign w:val="center"/>
          </w:tcPr>
          <w:p w14:paraId="3908C050">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检查大类</w:t>
            </w:r>
          </w:p>
        </w:tc>
        <w:tc>
          <w:tcPr>
            <w:tcW w:w="3876" w:type="dxa"/>
            <w:tcBorders>
              <w:tl2br w:val="nil"/>
              <w:tr2bl w:val="nil"/>
            </w:tcBorders>
            <w:shd w:val="clear" w:color="auto" w:fill="auto"/>
            <w:vAlign w:val="center"/>
          </w:tcPr>
          <w:p w14:paraId="1767242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增加项目（投标人自行按序添加）</w:t>
            </w:r>
          </w:p>
        </w:tc>
        <w:tc>
          <w:tcPr>
            <w:tcW w:w="1632" w:type="dxa"/>
            <w:tcBorders>
              <w:tl2br w:val="nil"/>
              <w:tr2bl w:val="nil"/>
            </w:tcBorders>
            <w:shd w:val="clear" w:color="auto" w:fill="auto"/>
            <w:vAlign w:val="center"/>
          </w:tcPr>
          <w:p w14:paraId="37B9982C">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检查目的</w:t>
            </w:r>
          </w:p>
        </w:tc>
        <w:tc>
          <w:tcPr>
            <w:tcW w:w="1746" w:type="dxa"/>
            <w:tcBorders>
              <w:tl2br w:val="nil"/>
              <w:tr2bl w:val="nil"/>
            </w:tcBorders>
            <w:shd w:val="clear" w:color="auto" w:fill="auto"/>
            <w:vAlign w:val="center"/>
          </w:tcPr>
          <w:p w14:paraId="5AD70A78">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bidi="ar"/>
              </w:rPr>
              <w:t>备注</w:t>
            </w:r>
          </w:p>
        </w:tc>
      </w:tr>
      <w:tr w14:paraId="3A4050B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0A3F363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674" w:type="dxa"/>
            <w:tcBorders>
              <w:tl2br w:val="nil"/>
              <w:tr2bl w:val="nil"/>
            </w:tcBorders>
            <w:shd w:val="clear" w:color="auto" w:fill="auto"/>
            <w:vAlign w:val="center"/>
          </w:tcPr>
          <w:p w14:paraId="0A8DBC9F">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3876" w:type="dxa"/>
            <w:tcBorders>
              <w:tl2br w:val="nil"/>
              <w:tr2bl w:val="nil"/>
            </w:tcBorders>
            <w:shd w:val="clear" w:color="auto" w:fill="auto"/>
            <w:vAlign w:val="center"/>
          </w:tcPr>
          <w:p w14:paraId="5FA9889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632" w:type="dxa"/>
            <w:tcBorders>
              <w:tl2br w:val="nil"/>
              <w:tr2bl w:val="nil"/>
            </w:tcBorders>
            <w:shd w:val="clear" w:color="auto" w:fill="auto"/>
            <w:vAlign w:val="center"/>
          </w:tcPr>
          <w:p w14:paraId="493F6D1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746" w:type="dxa"/>
            <w:tcBorders>
              <w:tl2br w:val="nil"/>
              <w:tr2bl w:val="nil"/>
            </w:tcBorders>
            <w:shd w:val="clear" w:color="auto" w:fill="auto"/>
            <w:vAlign w:val="center"/>
          </w:tcPr>
          <w:p w14:paraId="58F2D9B9">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0EE70E7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88" w:hRule="atLeast"/>
          <w:jc w:val="center"/>
        </w:trPr>
        <w:tc>
          <w:tcPr>
            <w:tcW w:w="768" w:type="dxa"/>
            <w:tcBorders>
              <w:tl2br w:val="nil"/>
              <w:tr2bl w:val="nil"/>
            </w:tcBorders>
            <w:shd w:val="clear" w:color="auto" w:fill="auto"/>
            <w:vAlign w:val="center"/>
          </w:tcPr>
          <w:p w14:paraId="4606C8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highlight w:val="none"/>
                <w:u w:val="none"/>
              </w:rPr>
            </w:pPr>
            <w:r>
              <w:rPr>
                <w:rFonts w:hint="default" w:ascii="Times New Roman" w:hAnsi="Times New Roman" w:eastAsia="宋体" w:cs="Times New Roman"/>
                <w:i w:val="0"/>
                <w:iCs w:val="0"/>
                <w:color w:val="000000"/>
                <w:kern w:val="0"/>
                <w:sz w:val="21"/>
                <w:szCs w:val="21"/>
                <w:highlight w:val="none"/>
                <w:u w:val="none"/>
                <w:lang w:val="en-US" w:eastAsia="zh-CN" w:bidi="ar"/>
              </w:rPr>
              <w:t>..</w:t>
            </w:r>
          </w:p>
        </w:tc>
        <w:tc>
          <w:tcPr>
            <w:tcW w:w="1674" w:type="dxa"/>
            <w:tcBorders>
              <w:tl2br w:val="nil"/>
              <w:tr2bl w:val="nil"/>
            </w:tcBorders>
            <w:shd w:val="clear" w:color="auto" w:fill="auto"/>
            <w:vAlign w:val="center"/>
          </w:tcPr>
          <w:p w14:paraId="0BAAFFC4">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3876" w:type="dxa"/>
            <w:tcBorders>
              <w:tl2br w:val="nil"/>
              <w:tr2bl w:val="nil"/>
            </w:tcBorders>
            <w:shd w:val="clear" w:color="auto" w:fill="auto"/>
            <w:vAlign w:val="center"/>
          </w:tcPr>
          <w:p w14:paraId="6979F6F7">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632" w:type="dxa"/>
            <w:tcBorders>
              <w:tl2br w:val="nil"/>
              <w:tr2bl w:val="nil"/>
            </w:tcBorders>
            <w:shd w:val="clear" w:color="auto" w:fill="auto"/>
            <w:vAlign w:val="center"/>
          </w:tcPr>
          <w:p w14:paraId="65C87D6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c>
          <w:tcPr>
            <w:tcW w:w="1746" w:type="dxa"/>
            <w:tcBorders>
              <w:tl2br w:val="nil"/>
              <w:tr2bl w:val="nil"/>
            </w:tcBorders>
            <w:shd w:val="clear" w:color="auto" w:fill="auto"/>
            <w:vAlign w:val="center"/>
          </w:tcPr>
          <w:p w14:paraId="1095E183">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w:t>
            </w:r>
          </w:p>
        </w:tc>
      </w:tr>
      <w:tr w14:paraId="78CAE49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3" w:hRule="atLeast"/>
          <w:jc w:val="center"/>
        </w:trPr>
        <w:tc>
          <w:tcPr>
            <w:tcW w:w="2442" w:type="dxa"/>
            <w:gridSpan w:val="2"/>
            <w:tcBorders>
              <w:tl2br w:val="nil"/>
              <w:tr2bl w:val="nil"/>
            </w:tcBorders>
            <w:shd w:val="clear" w:color="auto" w:fill="auto"/>
            <w:vAlign w:val="center"/>
          </w:tcPr>
          <w:p w14:paraId="4E88124A">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套餐小计价格</w:t>
            </w:r>
          </w:p>
        </w:tc>
        <w:tc>
          <w:tcPr>
            <w:tcW w:w="3876" w:type="dxa"/>
            <w:tcBorders>
              <w:tl2br w:val="nil"/>
              <w:tr2bl w:val="nil"/>
            </w:tcBorders>
            <w:shd w:val="clear" w:color="auto" w:fill="auto"/>
            <w:vAlign w:val="center"/>
          </w:tcPr>
          <w:p w14:paraId="5CF46A01">
            <w:pPr>
              <w:jc w:val="left"/>
              <w:rPr>
                <w:rFonts w:hint="default" w:ascii="Times New Roman" w:hAnsi="Times New Roman" w:eastAsia="宋体" w:cs="Times New Roman"/>
                <w:i w:val="0"/>
                <w:iCs w:val="0"/>
                <w:color w:val="000000"/>
                <w:sz w:val="21"/>
                <w:szCs w:val="21"/>
                <w:highlight w:val="none"/>
                <w:u w:val="none"/>
              </w:rPr>
            </w:pPr>
          </w:p>
        </w:tc>
        <w:tc>
          <w:tcPr>
            <w:tcW w:w="1632" w:type="dxa"/>
            <w:tcBorders>
              <w:tl2br w:val="nil"/>
              <w:tr2bl w:val="nil"/>
            </w:tcBorders>
            <w:shd w:val="clear" w:color="auto" w:fill="auto"/>
            <w:vAlign w:val="center"/>
          </w:tcPr>
          <w:p w14:paraId="009CA90A">
            <w:pPr>
              <w:jc w:val="center"/>
              <w:rPr>
                <w:rFonts w:hint="default" w:ascii="Times New Roman" w:hAnsi="Times New Roman" w:eastAsia="宋体" w:cs="Times New Roman"/>
                <w:i w:val="0"/>
                <w:iCs w:val="0"/>
                <w:color w:val="000000"/>
                <w:sz w:val="21"/>
                <w:szCs w:val="21"/>
                <w:highlight w:val="none"/>
                <w:u w:val="none"/>
              </w:rPr>
            </w:pPr>
          </w:p>
        </w:tc>
        <w:tc>
          <w:tcPr>
            <w:tcW w:w="1746" w:type="dxa"/>
            <w:tcBorders>
              <w:tl2br w:val="nil"/>
              <w:tr2bl w:val="nil"/>
            </w:tcBorders>
            <w:shd w:val="clear" w:color="auto" w:fill="auto"/>
            <w:vAlign w:val="center"/>
          </w:tcPr>
          <w:p w14:paraId="0176D88D">
            <w:pPr>
              <w:jc w:val="center"/>
              <w:rPr>
                <w:rFonts w:hint="default" w:ascii="Times New Roman" w:hAnsi="Times New Roman" w:eastAsia="宋体" w:cs="Times New Roman"/>
                <w:i w:val="0"/>
                <w:iCs w:val="0"/>
                <w:color w:val="000000"/>
                <w:sz w:val="21"/>
                <w:szCs w:val="21"/>
                <w:highlight w:val="none"/>
                <w:u w:val="none"/>
              </w:rPr>
            </w:pPr>
          </w:p>
        </w:tc>
      </w:tr>
    </w:tbl>
    <w:p w14:paraId="0A77F1C3">
      <w:pPr>
        <w:pStyle w:val="4"/>
        <w:ind w:firstLine="0" w:firstLineChars="0"/>
        <w:jc w:val="left"/>
        <w:rPr>
          <w:rFonts w:hint="eastAsia" w:hAnsi="宋体" w:cs="宋体"/>
          <w:bCs w:val="0"/>
          <w:sz w:val="21"/>
          <w:szCs w:val="21"/>
          <w:highlight w:val="none"/>
          <w:lang w:val="zh-CN"/>
        </w:rPr>
      </w:pPr>
    </w:p>
    <w:p w14:paraId="0FCA98E5">
      <w:pPr>
        <w:rPr>
          <w:rFonts w:hint="eastAsia" w:hAnsi="宋体" w:cs="宋体"/>
          <w:bCs w:val="0"/>
          <w:sz w:val="21"/>
          <w:szCs w:val="21"/>
          <w:highlight w:val="none"/>
          <w:lang w:val="zh-CN"/>
        </w:rPr>
      </w:pPr>
    </w:p>
    <w:p w14:paraId="20A49976">
      <w:pPr>
        <w:rPr>
          <w:rFonts w:hint="eastAsia" w:hAnsi="宋体" w:cs="宋体"/>
          <w:bCs w:val="0"/>
          <w:sz w:val="21"/>
          <w:szCs w:val="21"/>
          <w:highlight w:val="none"/>
          <w:lang w:val="zh-CN"/>
        </w:rPr>
      </w:pPr>
    </w:p>
    <w:p w14:paraId="27E5EC83">
      <w:pPr>
        <w:rPr>
          <w:rFonts w:hint="eastAsia" w:hAnsi="宋体" w:cs="宋体"/>
          <w:bCs w:val="0"/>
          <w:sz w:val="21"/>
          <w:szCs w:val="21"/>
          <w:highlight w:val="none"/>
          <w:lang w:val="zh-CN"/>
        </w:rPr>
      </w:pPr>
    </w:p>
    <w:p w14:paraId="06EC5368">
      <w:pPr>
        <w:rPr>
          <w:rFonts w:hint="eastAsia" w:hAnsi="宋体" w:cs="宋体"/>
          <w:bCs w:val="0"/>
          <w:sz w:val="21"/>
          <w:szCs w:val="21"/>
          <w:highlight w:val="none"/>
          <w:lang w:val="zh-CN"/>
        </w:rPr>
      </w:pPr>
    </w:p>
    <w:p w14:paraId="5B11F559">
      <w:pPr>
        <w:rPr>
          <w:rFonts w:hint="eastAsia" w:hAnsi="宋体" w:cs="宋体"/>
          <w:bCs w:val="0"/>
          <w:sz w:val="21"/>
          <w:szCs w:val="21"/>
          <w:highlight w:val="none"/>
          <w:lang w:val="zh-CN"/>
        </w:rPr>
      </w:pPr>
    </w:p>
    <w:p w14:paraId="3D3A2596">
      <w:pPr>
        <w:rPr>
          <w:rFonts w:hint="eastAsia" w:hAnsi="宋体" w:cs="宋体"/>
          <w:bCs w:val="0"/>
          <w:sz w:val="21"/>
          <w:szCs w:val="21"/>
          <w:highlight w:val="none"/>
          <w:lang w:val="zh-CN"/>
        </w:rPr>
      </w:pPr>
    </w:p>
    <w:p w14:paraId="7BF54349">
      <w:pPr>
        <w:rPr>
          <w:rFonts w:hint="eastAsia" w:hAnsi="宋体" w:cs="宋体"/>
          <w:bCs w:val="0"/>
          <w:sz w:val="21"/>
          <w:szCs w:val="21"/>
          <w:highlight w:val="none"/>
          <w:lang w:val="zh-CN"/>
        </w:rPr>
      </w:pPr>
    </w:p>
    <w:p w14:paraId="086977C9">
      <w:pPr>
        <w:rPr>
          <w:rFonts w:hint="eastAsia" w:hAnsi="宋体" w:cs="宋体"/>
          <w:bCs w:val="0"/>
          <w:sz w:val="21"/>
          <w:szCs w:val="21"/>
          <w:highlight w:val="none"/>
          <w:lang w:val="zh-CN"/>
        </w:rPr>
      </w:pPr>
    </w:p>
    <w:p w14:paraId="138B322A">
      <w:pPr>
        <w:rPr>
          <w:rFonts w:hint="eastAsia" w:hAnsi="宋体" w:cs="宋体"/>
          <w:bCs w:val="0"/>
          <w:sz w:val="21"/>
          <w:szCs w:val="21"/>
          <w:highlight w:val="none"/>
          <w:lang w:val="zh-CN"/>
        </w:rPr>
      </w:pPr>
    </w:p>
    <w:p w14:paraId="1E072F5D">
      <w:pPr>
        <w:rPr>
          <w:rFonts w:hint="eastAsia" w:hAnsi="宋体" w:cs="宋体"/>
          <w:bCs w:val="0"/>
          <w:sz w:val="21"/>
          <w:szCs w:val="21"/>
          <w:highlight w:val="none"/>
          <w:lang w:val="zh-CN"/>
        </w:rPr>
      </w:pPr>
    </w:p>
    <w:p w14:paraId="4F52845F">
      <w:pPr>
        <w:rPr>
          <w:rFonts w:hint="eastAsia" w:hAnsi="宋体" w:cs="宋体"/>
          <w:bCs w:val="0"/>
          <w:sz w:val="21"/>
          <w:szCs w:val="21"/>
          <w:highlight w:val="none"/>
          <w:lang w:val="zh-CN"/>
        </w:rPr>
      </w:pPr>
    </w:p>
    <w:p w14:paraId="71182E1E">
      <w:pPr>
        <w:rPr>
          <w:rFonts w:hint="eastAsia" w:hAnsi="宋体" w:cs="宋体"/>
          <w:bCs w:val="0"/>
          <w:sz w:val="21"/>
          <w:szCs w:val="21"/>
          <w:highlight w:val="none"/>
          <w:lang w:val="zh-CN"/>
        </w:rPr>
      </w:pPr>
    </w:p>
    <w:p w14:paraId="44767B95">
      <w:pPr>
        <w:rPr>
          <w:rFonts w:hint="eastAsia" w:hAnsi="宋体" w:cs="宋体"/>
          <w:bCs w:val="0"/>
          <w:sz w:val="21"/>
          <w:szCs w:val="21"/>
          <w:highlight w:val="none"/>
          <w:lang w:val="zh-CN"/>
        </w:rPr>
      </w:pPr>
    </w:p>
    <w:p w14:paraId="62DD8EAD">
      <w:pPr>
        <w:rPr>
          <w:rFonts w:hint="eastAsia" w:hAnsi="宋体" w:cs="宋体"/>
          <w:bCs w:val="0"/>
          <w:sz w:val="21"/>
          <w:szCs w:val="21"/>
          <w:highlight w:val="none"/>
          <w:lang w:val="zh-CN"/>
        </w:rPr>
      </w:pPr>
    </w:p>
    <w:p w14:paraId="1D7304E8">
      <w:pPr>
        <w:rPr>
          <w:rFonts w:hint="eastAsia" w:hAnsi="宋体" w:cs="宋体"/>
          <w:bCs w:val="0"/>
          <w:sz w:val="21"/>
          <w:szCs w:val="21"/>
          <w:highlight w:val="none"/>
          <w:lang w:val="zh-CN"/>
        </w:rPr>
      </w:pPr>
    </w:p>
    <w:p w14:paraId="7CF4D9E0">
      <w:pPr>
        <w:rPr>
          <w:rFonts w:hint="eastAsia" w:hAnsi="宋体" w:cs="宋体"/>
          <w:bCs w:val="0"/>
          <w:sz w:val="21"/>
          <w:szCs w:val="21"/>
          <w:highlight w:val="none"/>
          <w:lang w:val="zh-CN"/>
        </w:rPr>
      </w:pPr>
    </w:p>
    <w:p w14:paraId="05A13CCE">
      <w:pPr>
        <w:rPr>
          <w:rFonts w:hint="eastAsia" w:hAnsi="宋体" w:cs="宋体"/>
          <w:bCs w:val="0"/>
          <w:sz w:val="21"/>
          <w:szCs w:val="21"/>
          <w:highlight w:val="none"/>
          <w:lang w:val="zh-CN"/>
        </w:rPr>
      </w:pPr>
    </w:p>
    <w:p w14:paraId="517962B3">
      <w:pPr>
        <w:rPr>
          <w:rFonts w:hint="eastAsia" w:hAnsi="宋体" w:cs="宋体"/>
          <w:bCs w:val="0"/>
          <w:sz w:val="21"/>
          <w:szCs w:val="21"/>
          <w:highlight w:val="none"/>
          <w:lang w:val="zh-CN"/>
        </w:rPr>
      </w:pPr>
    </w:p>
    <w:p w14:paraId="1CF9AEE0">
      <w:pPr>
        <w:rPr>
          <w:rFonts w:hint="eastAsia" w:hAnsi="宋体" w:cs="宋体"/>
          <w:bCs w:val="0"/>
          <w:sz w:val="21"/>
          <w:szCs w:val="21"/>
          <w:highlight w:val="none"/>
          <w:lang w:val="zh-CN"/>
        </w:rPr>
      </w:pPr>
    </w:p>
    <w:p w14:paraId="2051167E">
      <w:pPr>
        <w:rPr>
          <w:rFonts w:hint="eastAsia" w:hAnsi="宋体" w:cs="宋体"/>
          <w:bCs w:val="0"/>
          <w:sz w:val="21"/>
          <w:szCs w:val="21"/>
          <w:highlight w:val="none"/>
          <w:lang w:val="zh-CN"/>
        </w:rPr>
      </w:pPr>
    </w:p>
    <w:p w14:paraId="16C1B3F3">
      <w:pPr>
        <w:rPr>
          <w:rFonts w:hint="eastAsia" w:hAnsi="宋体" w:cs="宋体"/>
          <w:bCs w:val="0"/>
          <w:sz w:val="21"/>
          <w:szCs w:val="21"/>
          <w:highlight w:val="none"/>
          <w:lang w:val="zh-CN"/>
        </w:rPr>
      </w:pPr>
    </w:p>
    <w:p w14:paraId="7B383E90">
      <w:pPr>
        <w:rPr>
          <w:rFonts w:hint="eastAsia" w:hAnsi="宋体" w:cs="宋体"/>
          <w:bCs w:val="0"/>
          <w:sz w:val="21"/>
          <w:szCs w:val="21"/>
          <w:highlight w:val="none"/>
          <w:lang w:val="zh-CN"/>
        </w:rPr>
      </w:pPr>
    </w:p>
    <w:p w14:paraId="6FB488C4">
      <w:pPr>
        <w:pStyle w:val="4"/>
        <w:ind w:firstLine="0" w:firstLineChars="0"/>
        <w:jc w:val="left"/>
        <w:rPr>
          <w:rFonts w:hint="eastAsia" w:ascii="黑体" w:hAnsi="黑体" w:eastAsia="黑体" w:cs="黑体"/>
          <w:b w:val="0"/>
          <w:bCs/>
          <w:sz w:val="24"/>
          <w:szCs w:val="24"/>
          <w:highlight w:val="none"/>
        </w:rPr>
      </w:pPr>
      <w:bookmarkStart w:id="73" w:name="_Toc24429"/>
      <w:r>
        <w:rPr>
          <w:rFonts w:hint="eastAsia" w:ascii="黑体" w:hAnsi="黑体" w:eastAsia="黑体" w:cs="黑体"/>
          <w:b w:val="0"/>
          <w:bCs/>
          <w:sz w:val="24"/>
          <w:szCs w:val="24"/>
          <w:highlight w:val="none"/>
          <w:lang w:val="zh-CN"/>
        </w:rPr>
        <w:t>格式</w:t>
      </w:r>
      <w:r>
        <w:rPr>
          <w:rFonts w:hint="eastAsia" w:ascii="黑体" w:hAnsi="黑体" w:eastAsia="黑体" w:cs="黑体"/>
          <w:b w:val="0"/>
          <w:bCs/>
          <w:sz w:val="24"/>
          <w:szCs w:val="24"/>
          <w:highlight w:val="none"/>
          <w:lang w:val="en-US" w:eastAsia="zh-CN"/>
        </w:rPr>
        <w:t>5</w:t>
      </w:r>
      <w:r>
        <w:rPr>
          <w:rFonts w:hint="eastAsia" w:ascii="黑体" w:hAnsi="黑体" w:eastAsia="黑体" w:cs="黑体"/>
          <w:b w:val="0"/>
          <w:bCs/>
          <w:sz w:val="24"/>
          <w:szCs w:val="24"/>
          <w:highlight w:val="none"/>
        </w:rPr>
        <w:t>：</w:t>
      </w:r>
      <w:bookmarkEnd w:id="72"/>
      <w:r>
        <w:rPr>
          <w:rFonts w:hint="eastAsia" w:ascii="黑体" w:hAnsi="黑体" w:eastAsia="黑体" w:cs="黑体"/>
          <w:b w:val="0"/>
          <w:bCs/>
          <w:sz w:val="24"/>
          <w:szCs w:val="24"/>
          <w:highlight w:val="none"/>
        </w:rPr>
        <w:t>商务技术要求响应情况清单</w:t>
      </w:r>
      <w:bookmarkEnd w:id="73"/>
    </w:p>
    <w:p w14:paraId="61BF18E8">
      <w:pPr>
        <w:keepNext w:val="0"/>
        <w:keepLines w:val="0"/>
        <w:pageBreakBefore w:val="0"/>
        <w:widowControl w:val="0"/>
        <w:kinsoku/>
        <w:wordWrap/>
        <w:overflowPunct/>
        <w:topLinePunct w:val="0"/>
        <w:autoSpaceDE/>
        <w:autoSpaceDN/>
        <w:bidi w:val="0"/>
        <w:adjustRightInd/>
        <w:snapToGrid/>
        <w:spacing w:after="120" w:line="560" w:lineRule="exact"/>
        <w:jc w:val="center"/>
        <w:textAlignment w:val="auto"/>
        <w:rPr>
          <w:rFonts w:hint="eastAsia" w:ascii="方正小标宋简体" w:hAnsi="方正小标宋简体" w:eastAsia="方正小标宋简体" w:cs="方正小标宋简体"/>
          <w:bCs/>
          <w:sz w:val="32"/>
          <w:szCs w:val="32"/>
          <w:highlight w:val="none"/>
          <w:lang w:val="zh-CN"/>
        </w:rPr>
      </w:pPr>
      <w:r>
        <w:rPr>
          <w:rFonts w:hint="eastAsia" w:ascii="方正小标宋简体" w:hAnsi="方正小标宋简体" w:eastAsia="方正小标宋简体" w:cs="方正小标宋简体"/>
          <w:bCs/>
          <w:sz w:val="32"/>
          <w:szCs w:val="32"/>
          <w:highlight w:val="none"/>
          <w:lang w:val="zh-CN"/>
        </w:rPr>
        <w:t>商务技术要求响应情况清单</w:t>
      </w:r>
    </w:p>
    <w:p w14:paraId="1A122723">
      <w:pPr>
        <w:spacing w:after="120"/>
        <w:rPr>
          <w:rFonts w:hint="eastAsia" w:ascii="仿宋" w:hAnsi="仿宋" w:eastAsia="仿宋" w:cs="仿宋"/>
          <w:bCs/>
          <w:szCs w:val="21"/>
          <w:highlight w:val="none"/>
          <w:u w:val="single"/>
        </w:rPr>
      </w:pPr>
      <w:r>
        <w:rPr>
          <w:rFonts w:hint="eastAsia" w:ascii="仿宋" w:hAnsi="仿宋" w:eastAsia="仿宋" w:cs="仿宋"/>
          <w:bCs/>
          <w:szCs w:val="21"/>
          <w:highlight w:val="none"/>
        </w:rPr>
        <w:t>投标人名称：</w:t>
      </w:r>
      <w:r>
        <w:rPr>
          <w:rFonts w:hint="eastAsia" w:ascii="仿宋" w:hAnsi="仿宋" w:eastAsia="仿宋" w:cs="仿宋"/>
          <w:bCs/>
          <w:szCs w:val="21"/>
          <w:highlight w:val="none"/>
          <w:lang w:val="en-US" w:eastAsia="zh-CN"/>
        </w:rPr>
        <w:t xml:space="preserve">                                    </w:t>
      </w:r>
      <w:r>
        <w:rPr>
          <w:rFonts w:hint="eastAsia" w:ascii="仿宋" w:hAnsi="仿宋" w:eastAsia="仿宋" w:cs="仿宋"/>
          <w:bCs/>
          <w:szCs w:val="21"/>
          <w:highlight w:val="none"/>
        </w:rPr>
        <w:t>投标</w:t>
      </w:r>
      <w:r>
        <w:rPr>
          <w:rFonts w:hint="eastAsia" w:ascii="仿宋" w:hAnsi="仿宋" w:eastAsia="仿宋" w:cs="仿宋"/>
          <w:bCs/>
          <w:szCs w:val="21"/>
          <w:highlight w:val="none"/>
          <w:lang w:val="en-US" w:eastAsia="zh-CN"/>
        </w:rPr>
        <w:t>编号</w:t>
      </w:r>
      <w:r>
        <w:rPr>
          <w:rFonts w:hint="eastAsia" w:ascii="仿宋" w:hAnsi="仿宋" w:eastAsia="仿宋" w:cs="仿宋"/>
          <w:bCs/>
          <w:szCs w:val="21"/>
          <w:highlight w:val="none"/>
        </w:rPr>
        <w:t>：</w:t>
      </w:r>
    </w:p>
    <w:tbl>
      <w:tblPr>
        <w:tblStyle w:val="15"/>
        <w:tblW w:w="9231" w:type="dxa"/>
        <w:tblInd w:w="4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686"/>
        <w:gridCol w:w="2344"/>
        <w:gridCol w:w="1472"/>
        <w:gridCol w:w="1453"/>
        <w:gridCol w:w="1652"/>
        <w:gridCol w:w="1624"/>
      </w:tblGrid>
      <w:tr w14:paraId="06A612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71" w:hRule="atLeast"/>
        </w:trPr>
        <w:tc>
          <w:tcPr>
            <w:tcW w:w="686" w:type="dxa"/>
            <w:tcBorders>
              <w:tl2br w:val="nil"/>
              <w:tr2bl w:val="nil"/>
            </w:tcBorders>
            <w:vAlign w:val="center"/>
          </w:tcPr>
          <w:p w14:paraId="4172E6C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ascii="宋体" w:hAnsi="宋体"/>
                <w:b/>
                <w:szCs w:val="21"/>
                <w:highlight w:val="none"/>
              </w:rPr>
              <w:t>序号</w:t>
            </w:r>
          </w:p>
        </w:tc>
        <w:tc>
          <w:tcPr>
            <w:tcW w:w="2344" w:type="dxa"/>
            <w:tcBorders>
              <w:tl2br w:val="nil"/>
              <w:tr2bl w:val="nil"/>
            </w:tcBorders>
            <w:vAlign w:val="center"/>
          </w:tcPr>
          <w:p w14:paraId="6116F8B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hint="eastAsia" w:ascii="宋体" w:hAnsi="宋体"/>
                <w:b/>
                <w:szCs w:val="21"/>
                <w:highlight w:val="none"/>
              </w:rPr>
              <w:t>项目商务技术</w:t>
            </w:r>
          </w:p>
          <w:p w14:paraId="5F55315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hint="eastAsia" w:ascii="宋体" w:hAnsi="宋体"/>
                <w:b/>
                <w:szCs w:val="21"/>
                <w:highlight w:val="none"/>
              </w:rPr>
              <w:t>要求</w:t>
            </w:r>
          </w:p>
        </w:tc>
        <w:tc>
          <w:tcPr>
            <w:tcW w:w="1472" w:type="dxa"/>
            <w:tcBorders>
              <w:tl2br w:val="nil"/>
              <w:tr2bl w:val="nil"/>
            </w:tcBorders>
            <w:vAlign w:val="center"/>
          </w:tcPr>
          <w:p w14:paraId="0CF2D59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hint="eastAsia" w:ascii="宋体" w:hAnsi="宋体"/>
                <w:b/>
                <w:szCs w:val="21"/>
                <w:highlight w:val="none"/>
              </w:rPr>
              <w:t>投标情况</w:t>
            </w:r>
          </w:p>
        </w:tc>
        <w:tc>
          <w:tcPr>
            <w:tcW w:w="1453" w:type="dxa"/>
            <w:tcBorders>
              <w:tl2br w:val="nil"/>
              <w:tr2bl w:val="nil"/>
            </w:tcBorders>
            <w:vAlign w:val="center"/>
          </w:tcPr>
          <w:p w14:paraId="539010F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hint="eastAsia" w:ascii="宋体" w:hAnsi="宋体"/>
                <w:b/>
                <w:szCs w:val="21"/>
                <w:highlight w:val="none"/>
              </w:rPr>
              <w:t>投标文件    对应描述内容</w:t>
            </w:r>
          </w:p>
        </w:tc>
        <w:tc>
          <w:tcPr>
            <w:tcW w:w="1652" w:type="dxa"/>
            <w:tcBorders>
              <w:tl2br w:val="nil"/>
              <w:tr2bl w:val="nil"/>
            </w:tcBorders>
            <w:vAlign w:val="center"/>
          </w:tcPr>
          <w:p w14:paraId="3423878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hint="eastAsia" w:ascii="宋体" w:hAnsi="宋体"/>
                <w:b/>
                <w:szCs w:val="21"/>
                <w:highlight w:val="none"/>
              </w:rPr>
              <w:t>投标文件页码</w:t>
            </w:r>
          </w:p>
        </w:tc>
        <w:tc>
          <w:tcPr>
            <w:tcW w:w="1624" w:type="dxa"/>
            <w:tcBorders>
              <w:tl2br w:val="nil"/>
              <w:tr2bl w:val="nil"/>
            </w:tcBorders>
            <w:vAlign w:val="center"/>
          </w:tcPr>
          <w:p w14:paraId="325D323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
                <w:szCs w:val="21"/>
                <w:highlight w:val="none"/>
              </w:rPr>
            </w:pPr>
            <w:r>
              <w:rPr>
                <w:rFonts w:hint="eastAsia" w:ascii="宋体" w:hAnsi="宋体"/>
                <w:b/>
                <w:szCs w:val="21"/>
                <w:highlight w:val="none"/>
              </w:rPr>
              <w:t>备注</w:t>
            </w:r>
          </w:p>
        </w:tc>
      </w:tr>
      <w:tr w14:paraId="0AD6A9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7" w:hRule="atLeast"/>
        </w:trPr>
        <w:tc>
          <w:tcPr>
            <w:tcW w:w="686" w:type="dxa"/>
            <w:tcBorders>
              <w:tl2br w:val="nil"/>
              <w:tr2bl w:val="nil"/>
            </w:tcBorders>
            <w:vAlign w:val="center"/>
          </w:tcPr>
          <w:p w14:paraId="4A1143C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1</w:t>
            </w:r>
          </w:p>
        </w:tc>
        <w:tc>
          <w:tcPr>
            <w:tcW w:w="2344" w:type="dxa"/>
            <w:tcBorders>
              <w:tl2br w:val="nil"/>
              <w:tr2bl w:val="nil"/>
            </w:tcBorders>
            <w:vAlign w:val="center"/>
          </w:tcPr>
          <w:p w14:paraId="24106754">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vAlign w:val="center"/>
          </w:tcPr>
          <w:p w14:paraId="67013F2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453" w:type="dxa"/>
            <w:tcBorders>
              <w:tl2br w:val="nil"/>
              <w:tr2bl w:val="nil"/>
            </w:tcBorders>
            <w:vAlign w:val="center"/>
          </w:tcPr>
          <w:p w14:paraId="7D96664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52" w:type="dxa"/>
            <w:tcBorders>
              <w:tl2br w:val="nil"/>
              <w:tr2bl w:val="nil"/>
            </w:tcBorders>
            <w:vAlign w:val="center"/>
          </w:tcPr>
          <w:p w14:paraId="6FD65B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24" w:type="dxa"/>
            <w:tcBorders>
              <w:tl2br w:val="nil"/>
              <w:tr2bl w:val="nil"/>
            </w:tcBorders>
            <w:vAlign w:val="center"/>
          </w:tcPr>
          <w:p w14:paraId="66E303E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r>
      <w:tr w14:paraId="17FCFD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0" w:hRule="atLeast"/>
        </w:trPr>
        <w:tc>
          <w:tcPr>
            <w:tcW w:w="686" w:type="dxa"/>
            <w:tcBorders>
              <w:tl2br w:val="nil"/>
              <w:tr2bl w:val="nil"/>
            </w:tcBorders>
            <w:vAlign w:val="center"/>
          </w:tcPr>
          <w:p w14:paraId="35AA7311">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2</w:t>
            </w:r>
          </w:p>
        </w:tc>
        <w:tc>
          <w:tcPr>
            <w:tcW w:w="2344" w:type="dxa"/>
            <w:tcBorders>
              <w:tl2br w:val="nil"/>
              <w:tr2bl w:val="nil"/>
            </w:tcBorders>
            <w:vAlign w:val="center"/>
          </w:tcPr>
          <w:p w14:paraId="6ACB0036">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vAlign w:val="center"/>
          </w:tcPr>
          <w:p w14:paraId="4C01CA9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453" w:type="dxa"/>
            <w:tcBorders>
              <w:tl2br w:val="nil"/>
              <w:tr2bl w:val="nil"/>
            </w:tcBorders>
            <w:vAlign w:val="center"/>
          </w:tcPr>
          <w:p w14:paraId="3EAF302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52" w:type="dxa"/>
            <w:tcBorders>
              <w:tl2br w:val="nil"/>
              <w:tr2bl w:val="nil"/>
            </w:tcBorders>
            <w:vAlign w:val="center"/>
          </w:tcPr>
          <w:p w14:paraId="75B9F81B">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24" w:type="dxa"/>
            <w:tcBorders>
              <w:tl2br w:val="nil"/>
              <w:tr2bl w:val="nil"/>
            </w:tcBorders>
            <w:vAlign w:val="center"/>
          </w:tcPr>
          <w:p w14:paraId="3E7B8CA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r>
      <w:tr w14:paraId="6865E3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trPr>
        <w:tc>
          <w:tcPr>
            <w:tcW w:w="686" w:type="dxa"/>
            <w:tcBorders>
              <w:tl2br w:val="nil"/>
              <w:tr2bl w:val="nil"/>
            </w:tcBorders>
            <w:vAlign w:val="center"/>
          </w:tcPr>
          <w:p w14:paraId="2F86DD0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3</w:t>
            </w:r>
          </w:p>
        </w:tc>
        <w:tc>
          <w:tcPr>
            <w:tcW w:w="2344" w:type="dxa"/>
            <w:tcBorders>
              <w:tl2br w:val="nil"/>
              <w:tr2bl w:val="nil"/>
            </w:tcBorders>
            <w:vAlign w:val="center"/>
          </w:tcPr>
          <w:p w14:paraId="32A6ECD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vAlign w:val="center"/>
          </w:tcPr>
          <w:p w14:paraId="615B8A6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453" w:type="dxa"/>
            <w:tcBorders>
              <w:tl2br w:val="nil"/>
              <w:tr2bl w:val="nil"/>
            </w:tcBorders>
            <w:vAlign w:val="center"/>
          </w:tcPr>
          <w:p w14:paraId="4E5DC64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52" w:type="dxa"/>
            <w:tcBorders>
              <w:tl2br w:val="nil"/>
              <w:tr2bl w:val="nil"/>
            </w:tcBorders>
            <w:vAlign w:val="center"/>
          </w:tcPr>
          <w:p w14:paraId="5E78CCD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24" w:type="dxa"/>
            <w:tcBorders>
              <w:tl2br w:val="nil"/>
              <w:tr2bl w:val="nil"/>
            </w:tcBorders>
            <w:vAlign w:val="center"/>
          </w:tcPr>
          <w:p w14:paraId="12046E33">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r>
      <w:tr w14:paraId="70D8C3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0" w:hRule="atLeast"/>
        </w:trPr>
        <w:tc>
          <w:tcPr>
            <w:tcW w:w="686" w:type="dxa"/>
            <w:tcBorders>
              <w:tl2br w:val="nil"/>
              <w:tr2bl w:val="nil"/>
            </w:tcBorders>
            <w:vAlign w:val="center"/>
          </w:tcPr>
          <w:p w14:paraId="464203B7">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4</w:t>
            </w:r>
          </w:p>
        </w:tc>
        <w:tc>
          <w:tcPr>
            <w:tcW w:w="2344" w:type="dxa"/>
            <w:tcBorders>
              <w:tl2br w:val="nil"/>
              <w:tr2bl w:val="nil"/>
            </w:tcBorders>
            <w:vAlign w:val="center"/>
          </w:tcPr>
          <w:p w14:paraId="1D4187C5">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vAlign w:val="center"/>
          </w:tcPr>
          <w:p w14:paraId="00BD157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453" w:type="dxa"/>
            <w:tcBorders>
              <w:tl2br w:val="nil"/>
              <w:tr2bl w:val="nil"/>
            </w:tcBorders>
            <w:vAlign w:val="center"/>
          </w:tcPr>
          <w:p w14:paraId="3C9449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52" w:type="dxa"/>
            <w:tcBorders>
              <w:tl2br w:val="nil"/>
              <w:tr2bl w:val="nil"/>
            </w:tcBorders>
            <w:vAlign w:val="center"/>
          </w:tcPr>
          <w:p w14:paraId="606170F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24" w:type="dxa"/>
            <w:tcBorders>
              <w:tl2br w:val="nil"/>
              <w:tr2bl w:val="nil"/>
            </w:tcBorders>
            <w:vAlign w:val="center"/>
          </w:tcPr>
          <w:p w14:paraId="2CB5DF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r>
      <w:tr w14:paraId="3D6356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7" w:hRule="atLeast"/>
        </w:trPr>
        <w:tc>
          <w:tcPr>
            <w:tcW w:w="686" w:type="dxa"/>
            <w:tcBorders>
              <w:tl2br w:val="nil"/>
              <w:tr2bl w:val="nil"/>
            </w:tcBorders>
            <w:vAlign w:val="center"/>
          </w:tcPr>
          <w:p w14:paraId="0C01002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5</w:t>
            </w:r>
          </w:p>
        </w:tc>
        <w:tc>
          <w:tcPr>
            <w:tcW w:w="2344" w:type="dxa"/>
            <w:tcBorders>
              <w:tl2br w:val="nil"/>
              <w:tr2bl w:val="nil"/>
            </w:tcBorders>
            <w:vAlign w:val="center"/>
          </w:tcPr>
          <w:p w14:paraId="255FDEC9">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vAlign w:val="center"/>
          </w:tcPr>
          <w:p w14:paraId="38580B3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453" w:type="dxa"/>
            <w:tcBorders>
              <w:tl2br w:val="nil"/>
              <w:tr2bl w:val="nil"/>
            </w:tcBorders>
            <w:vAlign w:val="center"/>
          </w:tcPr>
          <w:p w14:paraId="2BCBE8F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52" w:type="dxa"/>
            <w:tcBorders>
              <w:tl2br w:val="nil"/>
              <w:tr2bl w:val="nil"/>
            </w:tcBorders>
            <w:vAlign w:val="center"/>
          </w:tcPr>
          <w:p w14:paraId="07DC37E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24" w:type="dxa"/>
            <w:tcBorders>
              <w:tl2br w:val="nil"/>
              <w:tr2bl w:val="nil"/>
            </w:tcBorders>
            <w:vAlign w:val="center"/>
          </w:tcPr>
          <w:p w14:paraId="460D872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r>
      <w:tr w14:paraId="27D50A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53" w:hRule="atLeast"/>
        </w:trPr>
        <w:tc>
          <w:tcPr>
            <w:tcW w:w="686" w:type="dxa"/>
            <w:tcBorders>
              <w:tl2br w:val="nil"/>
              <w:tr2bl w:val="nil"/>
            </w:tcBorders>
            <w:vAlign w:val="center"/>
          </w:tcPr>
          <w:p w14:paraId="15B3F975">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6</w:t>
            </w:r>
          </w:p>
        </w:tc>
        <w:tc>
          <w:tcPr>
            <w:tcW w:w="2344" w:type="dxa"/>
            <w:tcBorders>
              <w:tl2br w:val="nil"/>
              <w:tr2bl w:val="nil"/>
            </w:tcBorders>
            <w:vAlign w:val="center"/>
          </w:tcPr>
          <w:p w14:paraId="246566F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vAlign w:val="center"/>
          </w:tcPr>
          <w:p w14:paraId="2FD549BE">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453" w:type="dxa"/>
            <w:tcBorders>
              <w:tl2br w:val="nil"/>
              <w:tr2bl w:val="nil"/>
            </w:tcBorders>
            <w:vAlign w:val="center"/>
          </w:tcPr>
          <w:p w14:paraId="31307D42">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52" w:type="dxa"/>
            <w:tcBorders>
              <w:tl2br w:val="nil"/>
              <w:tr2bl w:val="nil"/>
            </w:tcBorders>
            <w:vAlign w:val="center"/>
          </w:tcPr>
          <w:p w14:paraId="39A4D3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c>
          <w:tcPr>
            <w:tcW w:w="1624" w:type="dxa"/>
            <w:tcBorders>
              <w:tl2br w:val="nil"/>
              <w:tr2bl w:val="nil"/>
            </w:tcBorders>
            <w:vAlign w:val="center"/>
          </w:tcPr>
          <w:p w14:paraId="679423EC">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p>
        </w:tc>
      </w:tr>
      <w:tr w14:paraId="5F6E7E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03" w:hRule="atLeast"/>
        </w:trPr>
        <w:tc>
          <w:tcPr>
            <w:tcW w:w="686" w:type="dxa"/>
            <w:tcBorders>
              <w:tl2br w:val="nil"/>
              <w:tr2bl w:val="nil"/>
            </w:tcBorders>
            <w:vAlign w:val="center"/>
          </w:tcPr>
          <w:p w14:paraId="73D997E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7</w:t>
            </w:r>
          </w:p>
        </w:tc>
        <w:tc>
          <w:tcPr>
            <w:tcW w:w="2344" w:type="dxa"/>
            <w:tcBorders>
              <w:tl2br w:val="nil"/>
              <w:tr2bl w:val="nil"/>
            </w:tcBorders>
          </w:tcPr>
          <w:p w14:paraId="65BB4B4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472" w:type="dxa"/>
            <w:tcBorders>
              <w:tl2br w:val="nil"/>
              <w:tr2bl w:val="nil"/>
            </w:tcBorders>
          </w:tcPr>
          <w:p w14:paraId="7BA5945F">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453" w:type="dxa"/>
            <w:tcBorders>
              <w:tl2br w:val="nil"/>
              <w:tr2bl w:val="nil"/>
            </w:tcBorders>
          </w:tcPr>
          <w:p w14:paraId="6A6E034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652" w:type="dxa"/>
            <w:tcBorders>
              <w:tl2br w:val="nil"/>
              <w:tr2bl w:val="nil"/>
            </w:tcBorders>
          </w:tcPr>
          <w:p w14:paraId="19B781D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624" w:type="dxa"/>
            <w:tcBorders>
              <w:tl2br w:val="nil"/>
              <w:tr2bl w:val="nil"/>
            </w:tcBorders>
          </w:tcPr>
          <w:p w14:paraId="5D890B93">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r>
      <w:tr w14:paraId="13593D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64" w:hRule="atLeast"/>
        </w:trPr>
        <w:tc>
          <w:tcPr>
            <w:tcW w:w="686" w:type="dxa"/>
            <w:tcBorders>
              <w:tl2br w:val="nil"/>
              <w:tr2bl w:val="nil"/>
            </w:tcBorders>
            <w:vAlign w:val="center"/>
          </w:tcPr>
          <w:p w14:paraId="01F30C8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ascii="宋体" w:hAnsi="宋体"/>
                <w:bCs/>
                <w:szCs w:val="21"/>
                <w:highlight w:val="none"/>
              </w:rPr>
            </w:pPr>
            <w:r>
              <w:rPr>
                <w:rFonts w:hint="eastAsia" w:ascii="宋体" w:hAnsi="宋体"/>
                <w:bCs/>
                <w:szCs w:val="21"/>
                <w:highlight w:val="none"/>
              </w:rPr>
              <w:t>8</w:t>
            </w:r>
          </w:p>
        </w:tc>
        <w:tc>
          <w:tcPr>
            <w:tcW w:w="2344" w:type="dxa"/>
            <w:tcBorders>
              <w:tl2br w:val="nil"/>
              <w:tr2bl w:val="nil"/>
            </w:tcBorders>
          </w:tcPr>
          <w:p w14:paraId="75B3400C">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ascii="宋体" w:hAnsi="宋体"/>
                <w:bCs/>
                <w:szCs w:val="21"/>
                <w:highlight w:val="none"/>
              </w:rPr>
            </w:pPr>
          </w:p>
        </w:tc>
        <w:tc>
          <w:tcPr>
            <w:tcW w:w="1472" w:type="dxa"/>
            <w:tcBorders>
              <w:tl2br w:val="nil"/>
              <w:tr2bl w:val="nil"/>
            </w:tcBorders>
          </w:tcPr>
          <w:p w14:paraId="1C4DD6AE">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453" w:type="dxa"/>
            <w:tcBorders>
              <w:tl2br w:val="nil"/>
              <w:tr2bl w:val="nil"/>
            </w:tcBorders>
          </w:tcPr>
          <w:p w14:paraId="6276478B">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652" w:type="dxa"/>
            <w:tcBorders>
              <w:tl2br w:val="nil"/>
              <w:tr2bl w:val="nil"/>
            </w:tcBorders>
          </w:tcPr>
          <w:p w14:paraId="38D19655">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c>
          <w:tcPr>
            <w:tcW w:w="1624" w:type="dxa"/>
            <w:tcBorders>
              <w:tl2br w:val="nil"/>
              <w:tr2bl w:val="nil"/>
            </w:tcBorders>
          </w:tcPr>
          <w:p w14:paraId="1B9438C6">
            <w:pPr>
              <w:keepNext w:val="0"/>
              <w:keepLines w:val="0"/>
              <w:pageBreakBefore w:val="0"/>
              <w:widowControl w:val="0"/>
              <w:kinsoku/>
              <w:wordWrap/>
              <w:overflowPunct/>
              <w:topLinePunct w:val="0"/>
              <w:autoSpaceDE/>
              <w:autoSpaceDN/>
              <w:bidi w:val="0"/>
              <w:adjustRightInd/>
              <w:snapToGrid/>
              <w:spacing w:line="280" w:lineRule="exact"/>
              <w:textAlignment w:val="auto"/>
              <w:rPr>
                <w:rFonts w:ascii="宋体" w:hAnsi="宋体"/>
                <w:bCs/>
                <w:szCs w:val="21"/>
                <w:highlight w:val="none"/>
              </w:rPr>
            </w:pPr>
          </w:p>
        </w:tc>
      </w:tr>
      <w:tr w14:paraId="2194A3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80" w:hRule="atLeast"/>
        </w:trPr>
        <w:tc>
          <w:tcPr>
            <w:tcW w:w="686" w:type="dxa"/>
            <w:tcBorders>
              <w:tl2br w:val="nil"/>
              <w:tr2bl w:val="nil"/>
            </w:tcBorders>
          </w:tcPr>
          <w:p w14:paraId="25CD831A">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Cs/>
                <w:szCs w:val="21"/>
                <w:highlight w:val="none"/>
              </w:rPr>
            </w:pPr>
          </w:p>
        </w:tc>
        <w:tc>
          <w:tcPr>
            <w:tcW w:w="2344" w:type="dxa"/>
            <w:tcBorders>
              <w:tl2br w:val="nil"/>
              <w:tr2bl w:val="nil"/>
            </w:tcBorders>
          </w:tcPr>
          <w:p w14:paraId="165302A8">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default" w:ascii="宋体" w:hAnsi="宋体" w:eastAsiaTheme="minorEastAsia"/>
                <w:bCs/>
                <w:szCs w:val="21"/>
                <w:highlight w:val="none"/>
                <w:lang w:val="en-US" w:eastAsia="zh-CN"/>
              </w:rPr>
            </w:pPr>
          </w:p>
        </w:tc>
        <w:tc>
          <w:tcPr>
            <w:tcW w:w="1472" w:type="dxa"/>
            <w:tcBorders>
              <w:tl2br w:val="nil"/>
              <w:tr2bl w:val="nil"/>
            </w:tcBorders>
          </w:tcPr>
          <w:p w14:paraId="3B721B4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Cs/>
                <w:szCs w:val="21"/>
                <w:highlight w:val="none"/>
              </w:rPr>
            </w:pPr>
          </w:p>
        </w:tc>
        <w:tc>
          <w:tcPr>
            <w:tcW w:w="1453" w:type="dxa"/>
            <w:tcBorders>
              <w:tl2br w:val="nil"/>
              <w:tr2bl w:val="nil"/>
            </w:tcBorders>
          </w:tcPr>
          <w:p w14:paraId="58DA44AD">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Cs/>
                <w:szCs w:val="21"/>
                <w:highlight w:val="none"/>
              </w:rPr>
            </w:pPr>
          </w:p>
        </w:tc>
        <w:tc>
          <w:tcPr>
            <w:tcW w:w="1652" w:type="dxa"/>
            <w:tcBorders>
              <w:tl2br w:val="nil"/>
              <w:tr2bl w:val="nil"/>
            </w:tcBorders>
          </w:tcPr>
          <w:p w14:paraId="32E3D6CF">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Cs/>
                <w:szCs w:val="21"/>
                <w:highlight w:val="none"/>
              </w:rPr>
            </w:pPr>
          </w:p>
        </w:tc>
        <w:tc>
          <w:tcPr>
            <w:tcW w:w="1624" w:type="dxa"/>
            <w:tcBorders>
              <w:tl2br w:val="nil"/>
              <w:tr2bl w:val="nil"/>
            </w:tcBorders>
          </w:tcPr>
          <w:p w14:paraId="657726C0">
            <w:pPr>
              <w:keepNext w:val="0"/>
              <w:keepLines w:val="0"/>
              <w:pageBreakBefore w:val="0"/>
              <w:widowControl w:val="0"/>
              <w:kinsoku/>
              <w:wordWrap/>
              <w:overflowPunct/>
              <w:topLinePunct w:val="0"/>
              <w:autoSpaceDE/>
              <w:autoSpaceDN/>
              <w:bidi w:val="0"/>
              <w:adjustRightInd/>
              <w:snapToGrid/>
              <w:spacing w:line="280" w:lineRule="exact"/>
              <w:jc w:val="center"/>
              <w:textAlignment w:val="auto"/>
              <w:rPr>
                <w:rFonts w:hint="eastAsia" w:ascii="宋体" w:hAnsi="宋体"/>
                <w:bCs/>
                <w:szCs w:val="21"/>
                <w:highlight w:val="none"/>
              </w:rPr>
            </w:pPr>
          </w:p>
        </w:tc>
      </w:tr>
    </w:tbl>
    <w:p w14:paraId="05DA3395">
      <w:pPr>
        <w:keepNext w:val="0"/>
        <w:keepLines w:val="0"/>
        <w:pageBreakBefore w:val="0"/>
        <w:widowControl w:val="0"/>
        <w:kinsoku/>
        <w:wordWrap/>
        <w:overflowPunct/>
        <w:topLinePunct w:val="0"/>
        <w:autoSpaceDE/>
        <w:autoSpaceDN/>
        <w:bidi w:val="0"/>
        <w:adjustRightInd/>
        <w:snapToGrid/>
        <w:spacing w:beforeLines="50" w:line="360" w:lineRule="auto"/>
        <w:ind w:firstLine="422" w:firstLineChars="200"/>
        <w:textAlignment w:val="auto"/>
        <w:rPr>
          <w:rFonts w:hint="eastAsia" w:ascii="仿宋" w:hAnsi="仿宋" w:eastAsia="仿宋" w:cs="仿宋"/>
          <w:b/>
          <w:bCs/>
          <w:szCs w:val="21"/>
          <w:highlight w:val="none"/>
        </w:rPr>
      </w:pPr>
      <w:r>
        <w:rPr>
          <w:rFonts w:hint="eastAsia" w:ascii="仿宋" w:hAnsi="仿宋" w:eastAsia="仿宋" w:cs="仿宋"/>
          <w:b/>
          <w:bCs/>
          <w:szCs w:val="21"/>
          <w:highlight w:val="none"/>
        </w:rPr>
        <w:t>说明：</w:t>
      </w:r>
    </w:p>
    <w:p w14:paraId="65561899">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1.投标人须对招标文件全部理解清楚，根据实际可达到的响应情况根据要求如实填列“是/否”或相应投标文件内容及页码；</w:t>
      </w:r>
    </w:p>
    <w:p w14:paraId="44466854">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rPr>
        <w:t>2.本表必须如实填列，不得为空，投标人列示内容为投标文件有效组成部分，服务方案与本表不一致的情况，以有利于招标人及其外派员工的理解为准。</w:t>
      </w:r>
    </w:p>
    <w:p w14:paraId="6B2061C3">
      <w:pPr>
        <w:keepNext w:val="0"/>
        <w:keepLines w:val="0"/>
        <w:pageBreakBefore w:val="0"/>
        <w:widowControl w:val="0"/>
        <w:kinsoku/>
        <w:wordWrap/>
        <w:overflowPunct/>
        <w:topLinePunct w:val="0"/>
        <w:autoSpaceDE/>
        <w:autoSpaceDN/>
        <w:bidi w:val="0"/>
        <w:adjustRightInd/>
        <w:snapToGrid/>
        <w:spacing w:after="120" w:line="280" w:lineRule="exact"/>
        <w:ind w:firstLine="420" w:firstLineChars="200"/>
        <w:textAlignment w:val="auto"/>
        <w:rPr>
          <w:rFonts w:hint="eastAsia" w:ascii="仿宋_GB2312" w:hAnsi="仿宋_GB2312" w:eastAsia="仿宋_GB2312" w:cs="仿宋_GB2312"/>
          <w:bCs/>
          <w:szCs w:val="21"/>
          <w:highlight w:val="none"/>
        </w:rPr>
      </w:pPr>
      <w:r>
        <w:rPr>
          <w:rFonts w:hint="eastAsia" w:ascii="仿宋_GB2312" w:hAnsi="仿宋_GB2312" w:eastAsia="仿宋_GB2312" w:cs="仿宋_GB2312"/>
          <w:bCs/>
          <w:szCs w:val="21"/>
          <w:highlight w:val="none"/>
          <w:lang w:val="en-US" w:eastAsia="zh-CN"/>
        </w:rPr>
        <w:t>3.</w:t>
      </w:r>
      <w:r>
        <w:rPr>
          <w:rFonts w:hint="eastAsia" w:ascii="仿宋_GB2312" w:hAnsi="仿宋_GB2312" w:eastAsia="仿宋_GB2312" w:cs="仿宋_GB2312"/>
          <w:bCs/>
          <w:szCs w:val="21"/>
          <w:highlight w:val="none"/>
        </w:rPr>
        <w:t>未达到以上提供要求的，评标专家组有权认定为不合格响应，其相关分数予以扣减或作废标处理。</w:t>
      </w:r>
    </w:p>
    <w:p w14:paraId="0C1D5BC4">
      <w:pPr>
        <w:spacing w:after="120" w:line="280" w:lineRule="exact"/>
        <w:rPr>
          <w:rFonts w:hint="eastAsia" w:ascii="宋体" w:hAnsi="宋体" w:eastAsia="宋体" w:cs="宋体"/>
          <w:bCs/>
          <w:szCs w:val="21"/>
          <w:highlight w:val="none"/>
        </w:rPr>
      </w:pPr>
    </w:p>
    <w:p w14:paraId="360B380D">
      <w:pPr>
        <w:spacing w:after="120" w:line="280" w:lineRule="exact"/>
        <w:rPr>
          <w:rFonts w:hint="eastAsia" w:ascii="仿宋" w:hAnsi="仿宋" w:eastAsia="仿宋" w:cs="仿宋"/>
          <w:b w:val="0"/>
          <w:bCs/>
          <w:szCs w:val="21"/>
          <w:highlight w:val="none"/>
        </w:rPr>
      </w:pPr>
    </w:p>
    <w:p w14:paraId="72D0AF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Cs w:val="21"/>
          <w:highlight w:val="none"/>
        </w:rPr>
      </w:pPr>
      <w:r>
        <w:rPr>
          <w:rFonts w:hint="eastAsia" w:ascii="仿宋" w:hAnsi="仿宋" w:eastAsia="仿宋" w:cs="仿宋"/>
          <w:b w:val="0"/>
          <w:bCs/>
          <w:kern w:val="0"/>
          <w:szCs w:val="21"/>
          <w:highlight w:val="none"/>
        </w:rPr>
        <w:t>投标方名称（公章）：</w:t>
      </w:r>
    </w:p>
    <w:p w14:paraId="3DDEDD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Cs w:val="21"/>
          <w:highlight w:val="none"/>
        </w:rPr>
      </w:pPr>
      <w:r>
        <w:rPr>
          <w:rFonts w:hint="eastAsia" w:ascii="仿宋" w:hAnsi="仿宋" w:eastAsia="仿宋" w:cs="仿宋"/>
          <w:b w:val="0"/>
          <w:bCs/>
          <w:kern w:val="0"/>
          <w:szCs w:val="21"/>
          <w:highlight w:val="none"/>
        </w:rPr>
        <w:t>法定代表人（法定授权代表人）签名：</w:t>
      </w:r>
    </w:p>
    <w:p w14:paraId="3548BA35">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bCs/>
          <w:kern w:val="0"/>
          <w:szCs w:val="21"/>
          <w:highlight w:val="none"/>
        </w:rPr>
      </w:pPr>
      <w:r>
        <w:rPr>
          <w:rFonts w:hint="eastAsia" w:ascii="仿宋" w:hAnsi="仿宋" w:eastAsia="仿宋" w:cs="仿宋"/>
          <w:b w:val="0"/>
          <w:bCs/>
          <w:kern w:val="0"/>
          <w:szCs w:val="21"/>
          <w:highlight w:val="none"/>
        </w:rPr>
        <w:t>日期：</w:t>
      </w:r>
      <w:r>
        <w:rPr>
          <w:rFonts w:ascii="宋体" w:hAnsi="宋体"/>
          <w:bCs/>
          <w:kern w:val="0"/>
          <w:szCs w:val="21"/>
          <w:highlight w:val="none"/>
        </w:rPr>
        <w:br w:type="page"/>
      </w:r>
    </w:p>
    <w:p w14:paraId="656F9955">
      <w:pPr>
        <w:pStyle w:val="4"/>
        <w:ind w:firstLine="0" w:firstLineChars="0"/>
        <w:jc w:val="left"/>
        <w:rPr>
          <w:rFonts w:hint="eastAsia" w:ascii="黑体" w:hAnsi="黑体" w:eastAsia="黑体" w:cs="黑体"/>
          <w:b w:val="0"/>
          <w:bCs/>
          <w:sz w:val="24"/>
          <w:szCs w:val="24"/>
          <w:highlight w:val="none"/>
        </w:rPr>
      </w:pPr>
      <w:bookmarkStart w:id="74" w:name="_Toc30948"/>
      <w:bookmarkStart w:id="75" w:name="_Toc21663"/>
      <w:r>
        <w:rPr>
          <w:rFonts w:hint="eastAsia" w:ascii="黑体" w:hAnsi="黑体" w:eastAsia="黑体" w:cs="黑体"/>
          <w:b w:val="0"/>
          <w:bCs/>
          <w:sz w:val="24"/>
          <w:szCs w:val="24"/>
          <w:highlight w:val="none"/>
        </w:rPr>
        <w:t>格式</w:t>
      </w:r>
      <w:r>
        <w:rPr>
          <w:rFonts w:hint="eastAsia" w:ascii="黑体" w:hAnsi="黑体" w:eastAsia="黑体" w:cs="黑体"/>
          <w:b w:val="0"/>
          <w:bCs/>
          <w:sz w:val="24"/>
          <w:szCs w:val="24"/>
          <w:highlight w:val="none"/>
          <w:lang w:val="en-US" w:eastAsia="zh-CN"/>
        </w:rPr>
        <w:t>6</w:t>
      </w:r>
      <w:r>
        <w:rPr>
          <w:rFonts w:hint="eastAsia" w:ascii="黑体" w:hAnsi="黑体" w:eastAsia="黑体" w:cs="黑体"/>
          <w:b w:val="0"/>
          <w:bCs/>
          <w:sz w:val="24"/>
          <w:szCs w:val="24"/>
          <w:highlight w:val="none"/>
        </w:rPr>
        <w:t>：报价表</w:t>
      </w:r>
      <w:bookmarkEnd w:id="74"/>
    </w:p>
    <w:p w14:paraId="7DB0984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报价表</w:t>
      </w:r>
    </w:p>
    <w:p w14:paraId="06E8B83E">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致：深圳市鹏劳人力资源管理有限公司</w:t>
      </w:r>
    </w:p>
    <w:p w14:paraId="36F1AF65">
      <w:pPr>
        <w:keepNext w:val="0"/>
        <w:keepLines w:val="0"/>
        <w:pageBreakBefore w:val="0"/>
        <w:widowControl w:val="0"/>
        <w:kinsoku/>
        <w:wordWrap/>
        <w:overflowPunct/>
        <w:topLinePunct w:val="0"/>
        <w:autoSpaceDE/>
        <w:autoSpaceDN/>
        <w:bidi w:val="0"/>
        <w:adjustRightInd/>
        <w:snapToGrid/>
        <w:spacing w:line="280" w:lineRule="exact"/>
        <w:ind w:firstLine="480" w:firstLineChars="200"/>
        <w:textAlignment w:val="auto"/>
        <w:rPr>
          <w:rFonts w:hint="eastAsia" w:ascii="仿宋_GB2312" w:hAnsi="仿宋_GB2312" w:eastAsia="仿宋_GB2312" w:cs="仿宋_GB2312"/>
          <w:b w:val="0"/>
          <w:bCs/>
          <w:sz w:val="24"/>
          <w:szCs w:val="24"/>
          <w:highlight w:val="none"/>
        </w:rPr>
      </w:pPr>
      <w:r>
        <w:rPr>
          <w:rFonts w:hint="eastAsia" w:ascii="仿宋_GB2312" w:hAnsi="仿宋_GB2312" w:eastAsia="仿宋_GB2312" w:cs="仿宋_GB2312"/>
          <w:b w:val="0"/>
          <w:bCs/>
          <w:sz w:val="24"/>
          <w:szCs w:val="24"/>
          <w:highlight w:val="none"/>
        </w:rPr>
        <w:t>外派员工体检服务项目（招标编号：PLHR-ZB-FW-</w:t>
      </w:r>
      <w:r>
        <w:rPr>
          <w:rFonts w:hint="eastAsia" w:ascii="仿宋_GB2312" w:hAnsi="仿宋_GB2312" w:eastAsia="仿宋_GB2312" w:cs="仿宋_GB2312"/>
          <w:b w:val="0"/>
          <w:bCs/>
          <w:sz w:val="24"/>
          <w:szCs w:val="24"/>
          <w:highlight w:val="none"/>
          <w:lang w:eastAsia="zh-CN"/>
        </w:rPr>
        <w:t>20240601</w:t>
      </w:r>
      <w:r>
        <w:rPr>
          <w:rFonts w:hint="eastAsia" w:ascii="仿宋_GB2312" w:hAnsi="仿宋_GB2312" w:eastAsia="仿宋_GB2312" w:cs="仿宋_GB2312"/>
          <w:b w:val="0"/>
          <w:bCs/>
          <w:sz w:val="24"/>
          <w:szCs w:val="24"/>
          <w:highlight w:val="none"/>
        </w:rPr>
        <w:t>）项目投标报价如下：</w:t>
      </w:r>
    </w:p>
    <w:p w14:paraId="1C67EC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lang w:val="en-US" w:eastAsia="zh-CN"/>
        </w:rPr>
        <w:t>一、体检</w:t>
      </w:r>
      <w:r>
        <w:rPr>
          <w:rFonts w:hint="eastAsia" w:ascii="黑体" w:hAnsi="黑体" w:eastAsia="黑体" w:cs="黑体"/>
          <w:b w:val="0"/>
          <w:bCs/>
          <w:sz w:val="24"/>
          <w:szCs w:val="24"/>
          <w:highlight w:val="none"/>
        </w:rPr>
        <w:t>套餐（限价不超过390元/人）</w:t>
      </w:r>
    </w:p>
    <w:tbl>
      <w:tblPr>
        <w:tblStyle w:val="15"/>
        <w:tblW w:w="7964"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947"/>
        <w:gridCol w:w="3192"/>
        <w:gridCol w:w="2093"/>
      </w:tblGrid>
      <w:tr w14:paraId="145C17D6">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54" w:hRule="atLeast"/>
          <w:jc w:val="center"/>
        </w:trPr>
        <w:tc>
          <w:tcPr>
            <w:tcW w:w="732" w:type="dxa"/>
            <w:tcBorders>
              <w:tl2br w:val="nil"/>
              <w:tr2bl w:val="nil"/>
            </w:tcBorders>
            <w:shd w:val="clear" w:color="auto" w:fill="auto"/>
            <w:noWrap/>
            <w:tcMar>
              <w:top w:w="15" w:type="dxa"/>
              <w:left w:w="15" w:type="dxa"/>
              <w:right w:w="15" w:type="dxa"/>
            </w:tcMar>
            <w:vAlign w:val="center"/>
          </w:tcPr>
          <w:p w14:paraId="710FA273">
            <w:pPr>
              <w:widowControl/>
              <w:jc w:val="center"/>
              <w:textAlignment w:val="center"/>
              <w:rPr>
                <w:rFonts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序号</w:t>
            </w:r>
          </w:p>
        </w:tc>
        <w:tc>
          <w:tcPr>
            <w:tcW w:w="1947" w:type="dxa"/>
            <w:tcBorders>
              <w:tl2br w:val="nil"/>
              <w:tr2bl w:val="nil"/>
            </w:tcBorders>
            <w:shd w:val="clear" w:color="auto" w:fill="auto"/>
            <w:noWrap/>
            <w:tcMar>
              <w:top w:w="15" w:type="dxa"/>
              <w:left w:w="15" w:type="dxa"/>
              <w:right w:w="15" w:type="dxa"/>
            </w:tcMar>
            <w:vAlign w:val="center"/>
          </w:tcPr>
          <w:p w14:paraId="1EF20E36">
            <w:pPr>
              <w:widowControl/>
              <w:jc w:val="center"/>
              <w:textAlignment w:val="center"/>
              <w:rPr>
                <w:rFonts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检查大类</w:t>
            </w:r>
          </w:p>
        </w:tc>
        <w:tc>
          <w:tcPr>
            <w:tcW w:w="3192" w:type="dxa"/>
            <w:tcBorders>
              <w:tl2br w:val="nil"/>
              <w:tr2bl w:val="nil"/>
            </w:tcBorders>
            <w:shd w:val="clear" w:color="auto" w:fill="auto"/>
            <w:noWrap/>
            <w:tcMar>
              <w:top w:w="15" w:type="dxa"/>
              <w:left w:w="15" w:type="dxa"/>
              <w:right w:w="15" w:type="dxa"/>
            </w:tcMar>
            <w:vAlign w:val="center"/>
          </w:tcPr>
          <w:p w14:paraId="0D66FA64">
            <w:pPr>
              <w:widowControl/>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体检</w:t>
            </w:r>
            <w:r>
              <w:rPr>
                <w:rFonts w:hint="eastAsia" w:ascii="宋体" w:hAnsi="宋体" w:eastAsia="宋体" w:cs="宋体"/>
                <w:b/>
                <w:color w:val="000000"/>
                <w:kern w:val="0"/>
                <w:sz w:val="21"/>
                <w:szCs w:val="21"/>
                <w:highlight w:val="none"/>
              </w:rPr>
              <w:t>项目</w:t>
            </w:r>
          </w:p>
        </w:tc>
        <w:tc>
          <w:tcPr>
            <w:tcW w:w="2093" w:type="dxa"/>
            <w:tcBorders>
              <w:tl2br w:val="nil"/>
              <w:tr2bl w:val="nil"/>
            </w:tcBorders>
            <w:shd w:val="clear" w:color="auto" w:fill="auto"/>
            <w:noWrap/>
            <w:tcMar>
              <w:top w:w="15" w:type="dxa"/>
              <w:left w:w="15" w:type="dxa"/>
              <w:right w:w="15" w:type="dxa"/>
            </w:tcMar>
            <w:vAlign w:val="center"/>
          </w:tcPr>
          <w:p w14:paraId="4480BF83">
            <w:pPr>
              <w:widowControl/>
              <w:jc w:val="center"/>
              <w:textAlignment w:val="center"/>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分项单价</w:t>
            </w:r>
          </w:p>
          <w:p w14:paraId="39D9C396">
            <w:pPr>
              <w:widowControl/>
              <w:jc w:val="center"/>
              <w:textAlignment w:val="center"/>
              <w:rPr>
                <w:rFonts w:hint="default"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（含增值税）</w:t>
            </w:r>
          </w:p>
        </w:tc>
      </w:tr>
      <w:tr w14:paraId="5A439CC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2" w:type="dxa"/>
            <w:tcBorders>
              <w:tl2br w:val="nil"/>
              <w:tr2bl w:val="nil"/>
            </w:tcBorders>
            <w:shd w:val="clear" w:color="auto" w:fill="auto"/>
            <w:noWrap/>
            <w:tcMar>
              <w:top w:w="15" w:type="dxa"/>
              <w:left w:w="15" w:type="dxa"/>
              <w:right w:w="15" w:type="dxa"/>
            </w:tcMar>
            <w:vAlign w:val="center"/>
          </w:tcPr>
          <w:p w14:paraId="07DE5CDD">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1947" w:type="dxa"/>
            <w:tcBorders>
              <w:tl2br w:val="nil"/>
              <w:tr2bl w:val="nil"/>
            </w:tcBorders>
            <w:shd w:val="clear" w:color="auto" w:fill="auto"/>
            <w:noWrap/>
            <w:tcMar>
              <w:top w:w="15" w:type="dxa"/>
              <w:left w:w="15" w:type="dxa"/>
              <w:right w:w="15" w:type="dxa"/>
            </w:tcMar>
            <w:vAlign w:val="center"/>
          </w:tcPr>
          <w:p w14:paraId="1EB45B78">
            <w:pPr>
              <w:widowControl/>
              <w:jc w:val="center"/>
              <w:textAlignment w:val="center"/>
              <w:rPr>
                <w:rFonts w:ascii="宋体" w:hAnsi="宋体" w:eastAsia="宋体" w:cs="宋体"/>
                <w:bCs/>
                <w:color w:val="000000"/>
                <w:kern w:val="0"/>
                <w:sz w:val="21"/>
                <w:szCs w:val="21"/>
                <w:highlight w:val="none"/>
              </w:rPr>
            </w:pPr>
          </w:p>
        </w:tc>
        <w:tc>
          <w:tcPr>
            <w:tcW w:w="3192" w:type="dxa"/>
            <w:tcBorders>
              <w:tl2br w:val="nil"/>
              <w:tr2bl w:val="nil"/>
            </w:tcBorders>
            <w:shd w:val="clear" w:color="auto" w:fill="auto"/>
            <w:noWrap/>
            <w:tcMar>
              <w:top w:w="15" w:type="dxa"/>
              <w:left w:w="15" w:type="dxa"/>
              <w:right w:w="15" w:type="dxa"/>
            </w:tcMar>
            <w:vAlign w:val="center"/>
          </w:tcPr>
          <w:p w14:paraId="7C90DD4F">
            <w:pPr>
              <w:widowControl/>
              <w:jc w:val="center"/>
              <w:textAlignment w:val="center"/>
              <w:rPr>
                <w:rFonts w:ascii="宋体" w:hAnsi="宋体" w:eastAsia="宋体" w:cs="宋体"/>
                <w:bCs/>
                <w:color w:val="000000"/>
                <w:kern w:val="0"/>
                <w:sz w:val="21"/>
                <w:szCs w:val="21"/>
                <w:highlight w:val="none"/>
              </w:rPr>
            </w:pPr>
          </w:p>
        </w:tc>
        <w:tc>
          <w:tcPr>
            <w:tcW w:w="2093" w:type="dxa"/>
            <w:tcBorders>
              <w:tl2br w:val="nil"/>
              <w:tr2bl w:val="nil"/>
            </w:tcBorders>
            <w:shd w:val="clear" w:color="auto" w:fill="auto"/>
            <w:noWrap/>
            <w:tcMar>
              <w:top w:w="15" w:type="dxa"/>
              <w:left w:w="15" w:type="dxa"/>
              <w:right w:w="15" w:type="dxa"/>
            </w:tcMar>
            <w:vAlign w:val="center"/>
          </w:tcPr>
          <w:p w14:paraId="04820CF6">
            <w:pPr>
              <w:widowControl/>
              <w:jc w:val="center"/>
              <w:textAlignment w:val="center"/>
              <w:rPr>
                <w:rFonts w:ascii="宋体" w:hAnsi="宋体" w:eastAsia="宋体" w:cs="宋体"/>
                <w:bCs/>
                <w:color w:val="000000"/>
                <w:kern w:val="0"/>
                <w:sz w:val="21"/>
                <w:szCs w:val="21"/>
                <w:highlight w:val="none"/>
              </w:rPr>
            </w:pPr>
          </w:p>
        </w:tc>
      </w:tr>
      <w:tr w14:paraId="6E3371F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2" w:type="dxa"/>
            <w:tcBorders>
              <w:tl2br w:val="nil"/>
              <w:tr2bl w:val="nil"/>
            </w:tcBorders>
            <w:shd w:val="clear" w:color="auto" w:fill="auto"/>
            <w:noWrap/>
            <w:tcMar>
              <w:top w:w="15" w:type="dxa"/>
              <w:left w:w="15" w:type="dxa"/>
              <w:right w:w="15" w:type="dxa"/>
            </w:tcMar>
            <w:vAlign w:val="center"/>
          </w:tcPr>
          <w:p w14:paraId="35F2C123">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w:t>
            </w:r>
          </w:p>
        </w:tc>
        <w:tc>
          <w:tcPr>
            <w:tcW w:w="1947" w:type="dxa"/>
            <w:tcBorders>
              <w:tl2br w:val="nil"/>
              <w:tr2bl w:val="nil"/>
            </w:tcBorders>
            <w:shd w:val="clear" w:color="auto" w:fill="auto"/>
            <w:noWrap/>
            <w:tcMar>
              <w:top w:w="15" w:type="dxa"/>
              <w:left w:w="15" w:type="dxa"/>
              <w:right w:w="15" w:type="dxa"/>
            </w:tcMar>
            <w:vAlign w:val="center"/>
          </w:tcPr>
          <w:p w14:paraId="3E28ECC5">
            <w:pPr>
              <w:widowControl/>
              <w:jc w:val="center"/>
              <w:textAlignment w:val="center"/>
              <w:rPr>
                <w:rFonts w:ascii="宋体" w:hAnsi="宋体" w:eastAsia="宋体" w:cs="宋体"/>
                <w:bCs/>
                <w:color w:val="000000"/>
                <w:kern w:val="0"/>
                <w:sz w:val="21"/>
                <w:szCs w:val="21"/>
                <w:highlight w:val="none"/>
              </w:rPr>
            </w:pPr>
          </w:p>
        </w:tc>
        <w:tc>
          <w:tcPr>
            <w:tcW w:w="3192" w:type="dxa"/>
            <w:tcBorders>
              <w:tl2br w:val="nil"/>
              <w:tr2bl w:val="nil"/>
            </w:tcBorders>
            <w:shd w:val="clear" w:color="auto" w:fill="auto"/>
            <w:noWrap/>
            <w:tcMar>
              <w:top w:w="15" w:type="dxa"/>
              <w:left w:w="15" w:type="dxa"/>
              <w:right w:w="15" w:type="dxa"/>
            </w:tcMar>
            <w:vAlign w:val="center"/>
          </w:tcPr>
          <w:p w14:paraId="76812121">
            <w:pPr>
              <w:widowControl/>
              <w:jc w:val="center"/>
              <w:textAlignment w:val="center"/>
              <w:rPr>
                <w:rFonts w:ascii="宋体" w:hAnsi="宋体" w:eastAsia="宋体" w:cs="宋体"/>
                <w:bCs/>
                <w:color w:val="000000"/>
                <w:kern w:val="0"/>
                <w:sz w:val="21"/>
                <w:szCs w:val="21"/>
                <w:highlight w:val="none"/>
              </w:rPr>
            </w:pPr>
          </w:p>
        </w:tc>
        <w:tc>
          <w:tcPr>
            <w:tcW w:w="2093" w:type="dxa"/>
            <w:tcBorders>
              <w:tl2br w:val="nil"/>
              <w:tr2bl w:val="nil"/>
            </w:tcBorders>
            <w:shd w:val="clear" w:color="auto" w:fill="auto"/>
            <w:noWrap/>
            <w:tcMar>
              <w:top w:w="15" w:type="dxa"/>
              <w:left w:w="15" w:type="dxa"/>
              <w:right w:w="15" w:type="dxa"/>
            </w:tcMar>
            <w:vAlign w:val="center"/>
          </w:tcPr>
          <w:p w14:paraId="201F2C97">
            <w:pPr>
              <w:widowControl/>
              <w:jc w:val="center"/>
              <w:textAlignment w:val="center"/>
              <w:rPr>
                <w:rFonts w:ascii="宋体" w:hAnsi="宋体" w:eastAsia="宋体" w:cs="宋体"/>
                <w:bCs/>
                <w:color w:val="000000"/>
                <w:kern w:val="0"/>
                <w:sz w:val="21"/>
                <w:szCs w:val="21"/>
                <w:highlight w:val="none"/>
              </w:rPr>
            </w:pPr>
          </w:p>
        </w:tc>
      </w:tr>
      <w:tr w14:paraId="7296DFB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60" w:hRule="atLeast"/>
          <w:jc w:val="center"/>
        </w:trPr>
        <w:tc>
          <w:tcPr>
            <w:tcW w:w="732" w:type="dxa"/>
            <w:tcBorders>
              <w:tl2br w:val="nil"/>
              <w:tr2bl w:val="nil"/>
            </w:tcBorders>
            <w:shd w:val="clear" w:color="auto" w:fill="auto"/>
            <w:noWrap/>
            <w:tcMar>
              <w:top w:w="15" w:type="dxa"/>
              <w:left w:w="15" w:type="dxa"/>
              <w:right w:w="15" w:type="dxa"/>
            </w:tcMar>
            <w:vAlign w:val="center"/>
          </w:tcPr>
          <w:p w14:paraId="1D6113F9">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p>
        </w:tc>
        <w:tc>
          <w:tcPr>
            <w:tcW w:w="1947" w:type="dxa"/>
            <w:tcBorders>
              <w:tl2br w:val="nil"/>
              <w:tr2bl w:val="nil"/>
            </w:tcBorders>
            <w:shd w:val="clear" w:color="auto" w:fill="auto"/>
            <w:noWrap/>
            <w:tcMar>
              <w:top w:w="15" w:type="dxa"/>
              <w:left w:w="15" w:type="dxa"/>
              <w:right w:w="15" w:type="dxa"/>
            </w:tcMar>
            <w:vAlign w:val="center"/>
          </w:tcPr>
          <w:p w14:paraId="5BF61FF8">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p>
        </w:tc>
        <w:tc>
          <w:tcPr>
            <w:tcW w:w="3192" w:type="dxa"/>
            <w:tcBorders>
              <w:tl2br w:val="nil"/>
              <w:tr2bl w:val="nil"/>
            </w:tcBorders>
            <w:shd w:val="clear" w:color="auto" w:fill="auto"/>
            <w:noWrap/>
            <w:tcMar>
              <w:top w:w="15" w:type="dxa"/>
              <w:left w:w="15" w:type="dxa"/>
              <w:right w:w="15" w:type="dxa"/>
            </w:tcMar>
            <w:vAlign w:val="center"/>
          </w:tcPr>
          <w:p w14:paraId="2945D608">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p>
        </w:tc>
        <w:tc>
          <w:tcPr>
            <w:tcW w:w="2093" w:type="dxa"/>
            <w:tcBorders>
              <w:tl2br w:val="nil"/>
              <w:tr2bl w:val="nil"/>
            </w:tcBorders>
            <w:shd w:val="clear" w:color="auto" w:fill="auto"/>
            <w:noWrap/>
            <w:tcMar>
              <w:top w:w="15" w:type="dxa"/>
              <w:left w:w="15" w:type="dxa"/>
              <w:right w:w="15" w:type="dxa"/>
            </w:tcMar>
            <w:vAlign w:val="center"/>
          </w:tcPr>
          <w:p w14:paraId="294ED0BD">
            <w:pPr>
              <w:widowControl/>
              <w:jc w:val="center"/>
              <w:textAlignment w:val="center"/>
              <w:rPr>
                <w:rFonts w:ascii="宋体" w:hAnsi="宋体" w:eastAsia="宋体" w:cs="宋体"/>
                <w:bCs/>
                <w:color w:val="000000"/>
                <w:kern w:val="0"/>
                <w:sz w:val="21"/>
                <w:szCs w:val="21"/>
                <w:highlight w:val="none"/>
              </w:rPr>
            </w:pPr>
          </w:p>
        </w:tc>
      </w:tr>
      <w:tr w14:paraId="5909201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07" w:hRule="atLeast"/>
          <w:jc w:val="center"/>
        </w:trPr>
        <w:tc>
          <w:tcPr>
            <w:tcW w:w="2679" w:type="dxa"/>
            <w:gridSpan w:val="2"/>
            <w:tcBorders>
              <w:tl2br w:val="nil"/>
              <w:tr2bl w:val="nil"/>
            </w:tcBorders>
            <w:shd w:val="clear" w:color="auto" w:fill="auto"/>
            <w:noWrap/>
            <w:tcMar>
              <w:top w:w="15" w:type="dxa"/>
              <w:left w:w="15" w:type="dxa"/>
              <w:right w:w="15" w:type="dxa"/>
            </w:tcMar>
            <w:vAlign w:val="center"/>
          </w:tcPr>
          <w:p w14:paraId="663CFB02">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套餐原价</w:t>
            </w:r>
          </w:p>
        </w:tc>
        <w:tc>
          <w:tcPr>
            <w:tcW w:w="3192" w:type="dxa"/>
            <w:tcBorders>
              <w:tl2br w:val="nil"/>
              <w:tr2bl w:val="nil"/>
            </w:tcBorders>
            <w:shd w:val="clear" w:color="auto" w:fill="auto"/>
            <w:noWrap/>
            <w:tcMar>
              <w:top w:w="15" w:type="dxa"/>
              <w:left w:w="15" w:type="dxa"/>
              <w:right w:w="15" w:type="dxa"/>
            </w:tcMar>
            <w:vAlign w:val="center"/>
          </w:tcPr>
          <w:p w14:paraId="2B453BEC">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w:t>
            </w:r>
          </w:p>
        </w:tc>
        <w:tc>
          <w:tcPr>
            <w:tcW w:w="2093" w:type="dxa"/>
            <w:tcBorders>
              <w:tl2br w:val="nil"/>
              <w:tr2bl w:val="nil"/>
            </w:tcBorders>
            <w:shd w:val="clear" w:color="auto" w:fill="auto"/>
            <w:noWrap/>
            <w:tcMar>
              <w:top w:w="15" w:type="dxa"/>
              <w:left w:w="15" w:type="dxa"/>
              <w:right w:w="15" w:type="dxa"/>
            </w:tcMar>
            <w:vAlign w:val="center"/>
          </w:tcPr>
          <w:p w14:paraId="684853D8">
            <w:pPr>
              <w:widowControl/>
              <w:jc w:val="center"/>
              <w:textAlignment w:val="center"/>
              <w:rPr>
                <w:rFonts w:ascii="宋体" w:hAnsi="宋体" w:eastAsia="宋体" w:cs="宋体"/>
                <w:bCs/>
                <w:color w:val="000000"/>
                <w:kern w:val="0"/>
                <w:sz w:val="21"/>
                <w:szCs w:val="21"/>
                <w:highlight w:val="none"/>
              </w:rPr>
            </w:pPr>
          </w:p>
        </w:tc>
      </w:tr>
      <w:tr w14:paraId="048D20C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38" w:hRule="atLeast"/>
          <w:jc w:val="center"/>
        </w:trPr>
        <w:tc>
          <w:tcPr>
            <w:tcW w:w="2679" w:type="dxa"/>
            <w:gridSpan w:val="2"/>
            <w:tcBorders>
              <w:tl2br w:val="nil"/>
              <w:tr2bl w:val="nil"/>
            </w:tcBorders>
            <w:shd w:val="clear" w:color="auto" w:fill="auto"/>
            <w:noWrap/>
            <w:tcMar>
              <w:top w:w="15" w:type="dxa"/>
              <w:left w:w="15" w:type="dxa"/>
              <w:right w:w="15" w:type="dxa"/>
            </w:tcMar>
            <w:vAlign w:val="center"/>
          </w:tcPr>
          <w:p w14:paraId="7417D954">
            <w:pPr>
              <w:widowControl/>
              <w:jc w:val="center"/>
              <w:textAlignment w:val="center"/>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rPr>
              <w:t>套餐小计</w:t>
            </w:r>
            <w:r>
              <w:rPr>
                <w:rFonts w:hint="eastAsia" w:ascii="宋体" w:hAnsi="宋体" w:eastAsia="宋体" w:cs="宋体"/>
                <w:b/>
                <w:bCs w:val="0"/>
                <w:color w:val="000000"/>
                <w:kern w:val="0"/>
                <w:sz w:val="21"/>
                <w:szCs w:val="21"/>
                <w:highlight w:val="none"/>
                <w:lang w:val="en-US" w:eastAsia="zh-CN"/>
              </w:rPr>
              <w:t>限价单价</w:t>
            </w:r>
          </w:p>
          <w:p w14:paraId="7200F5EE">
            <w:pPr>
              <w:widowControl/>
              <w:jc w:val="center"/>
              <w:textAlignment w:val="center"/>
              <w:rPr>
                <w:rFonts w:hint="default" w:ascii="宋体" w:hAnsi="宋体" w:eastAsia="宋体" w:cs="宋体"/>
                <w:b/>
                <w:bCs w:val="0"/>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（综合单价不区分男女、婚姻状况、地区）</w:t>
            </w:r>
          </w:p>
        </w:tc>
        <w:tc>
          <w:tcPr>
            <w:tcW w:w="3192" w:type="dxa"/>
            <w:tcBorders>
              <w:tl2br w:val="nil"/>
              <w:tr2bl w:val="nil"/>
            </w:tcBorders>
            <w:shd w:val="clear" w:color="auto" w:fill="auto"/>
            <w:noWrap/>
            <w:tcMar>
              <w:top w:w="15" w:type="dxa"/>
              <w:left w:w="15" w:type="dxa"/>
              <w:right w:w="15" w:type="dxa"/>
            </w:tcMar>
            <w:vAlign w:val="center"/>
          </w:tcPr>
          <w:p w14:paraId="05C08280">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w:t>
            </w:r>
          </w:p>
        </w:tc>
        <w:tc>
          <w:tcPr>
            <w:tcW w:w="2093" w:type="dxa"/>
            <w:tcBorders>
              <w:tl2br w:val="nil"/>
              <w:tr2bl w:val="nil"/>
            </w:tcBorders>
            <w:shd w:val="clear" w:color="auto" w:fill="auto"/>
            <w:noWrap/>
            <w:tcMar>
              <w:top w:w="15" w:type="dxa"/>
              <w:left w:w="15" w:type="dxa"/>
              <w:right w:w="15" w:type="dxa"/>
            </w:tcMar>
            <w:vAlign w:val="center"/>
          </w:tcPr>
          <w:p w14:paraId="1B4ACF07">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390元/人</w:t>
            </w:r>
          </w:p>
        </w:tc>
      </w:tr>
      <w:tr w14:paraId="08C0463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2679" w:type="dxa"/>
            <w:gridSpan w:val="2"/>
            <w:tcBorders>
              <w:tl2br w:val="nil"/>
              <w:tr2bl w:val="nil"/>
            </w:tcBorders>
            <w:shd w:val="clear" w:color="auto" w:fill="auto"/>
            <w:noWrap/>
            <w:tcMar>
              <w:top w:w="15" w:type="dxa"/>
              <w:left w:w="15" w:type="dxa"/>
              <w:right w:w="15" w:type="dxa"/>
            </w:tcMar>
            <w:vAlign w:val="center"/>
          </w:tcPr>
          <w:p w14:paraId="1821F778">
            <w:pPr>
              <w:widowControl/>
              <w:jc w:val="center"/>
              <w:textAlignment w:val="center"/>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套餐小计投标价单价</w:t>
            </w:r>
          </w:p>
          <w:p w14:paraId="56C2CB60">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（综合单价不区分男女、婚姻状况、地区）</w:t>
            </w:r>
          </w:p>
        </w:tc>
        <w:tc>
          <w:tcPr>
            <w:tcW w:w="3192" w:type="dxa"/>
            <w:tcBorders>
              <w:tl2br w:val="nil"/>
              <w:tr2bl w:val="nil"/>
            </w:tcBorders>
            <w:shd w:val="clear" w:color="auto" w:fill="auto"/>
            <w:noWrap/>
            <w:tcMar>
              <w:top w:w="15" w:type="dxa"/>
              <w:left w:w="15" w:type="dxa"/>
              <w:right w:w="15" w:type="dxa"/>
            </w:tcMar>
            <w:vAlign w:val="center"/>
          </w:tcPr>
          <w:p w14:paraId="4344E7D0">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w:t>
            </w:r>
          </w:p>
        </w:tc>
        <w:tc>
          <w:tcPr>
            <w:tcW w:w="2093" w:type="dxa"/>
            <w:tcBorders>
              <w:tl2br w:val="nil"/>
              <w:tr2bl w:val="nil"/>
            </w:tcBorders>
            <w:shd w:val="clear" w:color="auto" w:fill="auto"/>
            <w:noWrap/>
            <w:tcMar>
              <w:top w:w="15" w:type="dxa"/>
              <w:left w:w="15" w:type="dxa"/>
              <w:right w:w="15" w:type="dxa"/>
            </w:tcMar>
            <w:vAlign w:val="center"/>
          </w:tcPr>
          <w:p w14:paraId="68C3D842">
            <w:pPr>
              <w:widowControl/>
              <w:jc w:val="center"/>
              <w:textAlignment w:val="center"/>
              <w:rPr>
                <w:rFonts w:hint="eastAsia" w:ascii="宋体" w:hAnsi="宋体" w:eastAsia="宋体" w:cs="宋体"/>
                <w:bCs/>
                <w:color w:val="000000"/>
                <w:kern w:val="0"/>
                <w:sz w:val="21"/>
                <w:szCs w:val="21"/>
                <w:highlight w:val="none"/>
                <w:lang w:val="en-US" w:eastAsia="zh-CN"/>
              </w:rPr>
            </w:pPr>
          </w:p>
        </w:tc>
      </w:tr>
    </w:tbl>
    <w:p w14:paraId="1F1340B4">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黑体" w:hAnsi="黑体" w:eastAsia="黑体" w:cs="黑体"/>
          <w:b w:val="0"/>
          <w:bCs/>
          <w:sz w:val="24"/>
          <w:szCs w:val="24"/>
          <w:highlight w:val="none"/>
        </w:rPr>
      </w:pPr>
      <w:r>
        <w:rPr>
          <w:rFonts w:hint="eastAsia" w:ascii="黑体" w:hAnsi="黑体" w:eastAsia="黑体" w:cs="黑体"/>
          <w:b w:val="0"/>
          <w:bCs/>
          <w:sz w:val="24"/>
          <w:szCs w:val="24"/>
          <w:highlight w:val="none"/>
          <w:lang w:val="en-US" w:eastAsia="zh-CN"/>
        </w:rPr>
        <w:t>二、体检</w:t>
      </w:r>
      <w:r>
        <w:rPr>
          <w:rFonts w:hint="eastAsia" w:ascii="黑体" w:hAnsi="黑体" w:eastAsia="黑体" w:cs="黑体"/>
          <w:b w:val="0"/>
          <w:bCs/>
          <w:sz w:val="24"/>
          <w:szCs w:val="24"/>
          <w:highlight w:val="none"/>
        </w:rPr>
        <w:t>套餐（限价不超过</w:t>
      </w:r>
      <w:r>
        <w:rPr>
          <w:rFonts w:hint="eastAsia" w:ascii="黑体" w:hAnsi="黑体" w:eastAsia="黑体" w:cs="黑体"/>
          <w:b w:val="0"/>
          <w:bCs/>
          <w:sz w:val="24"/>
          <w:szCs w:val="24"/>
          <w:highlight w:val="none"/>
          <w:lang w:val="en-US" w:eastAsia="zh-CN"/>
        </w:rPr>
        <w:t>500</w:t>
      </w:r>
      <w:r>
        <w:rPr>
          <w:rFonts w:hint="eastAsia" w:ascii="黑体" w:hAnsi="黑体" w:eastAsia="黑体" w:cs="黑体"/>
          <w:b w:val="0"/>
          <w:bCs/>
          <w:sz w:val="24"/>
          <w:szCs w:val="24"/>
          <w:highlight w:val="none"/>
        </w:rPr>
        <w:t>元/人）</w:t>
      </w:r>
    </w:p>
    <w:tbl>
      <w:tblPr>
        <w:tblStyle w:val="15"/>
        <w:tblW w:w="8036"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732"/>
        <w:gridCol w:w="1984"/>
        <w:gridCol w:w="3168"/>
        <w:gridCol w:w="2152"/>
      </w:tblGrid>
      <w:tr w14:paraId="2BF6CF1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732" w:type="dxa"/>
            <w:tcBorders>
              <w:tl2br w:val="nil"/>
              <w:tr2bl w:val="nil"/>
            </w:tcBorders>
            <w:shd w:val="clear" w:color="auto" w:fill="auto"/>
            <w:noWrap/>
            <w:tcMar>
              <w:top w:w="15" w:type="dxa"/>
              <w:left w:w="15" w:type="dxa"/>
              <w:right w:w="15" w:type="dxa"/>
            </w:tcMar>
            <w:vAlign w:val="center"/>
          </w:tcPr>
          <w:p w14:paraId="3AA3043E">
            <w:pPr>
              <w:widowControl/>
              <w:jc w:val="center"/>
              <w:textAlignment w:val="center"/>
              <w:rPr>
                <w:rFonts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序号</w:t>
            </w:r>
          </w:p>
        </w:tc>
        <w:tc>
          <w:tcPr>
            <w:tcW w:w="1984" w:type="dxa"/>
            <w:tcBorders>
              <w:tl2br w:val="nil"/>
              <w:tr2bl w:val="nil"/>
            </w:tcBorders>
            <w:shd w:val="clear" w:color="auto" w:fill="auto"/>
            <w:noWrap/>
            <w:tcMar>
              <w:top w:w="15" w:type="dxa"/>
              <w:left w:w="15" w:type="dxa"/>
              <w:right w:w="15" w:type="dxa"/>
            </w:tcMar>
            <w:vAlign w:val="center"/>
          </w:tcPr>
          <w:p w14:paraId="11FBFF99">
            <w:pPr>
              <w:widowControl/>
              <w:jc w:val="center"/>
              <w:textAlignment w:val="center"/>
              <w:rPr>
                <w:rFonts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rPr>
              <w:t>检查大类</w:t>
            </w:r>
          </w:p>
        </w:tc>
        <w:tc>
          <w:tcPr>
            <w:tcW w:w="3168" w:type="dxa"/>
            <w:tcBorders>
              <w:tl2br w:val="nil"/>
              <w:tr2bl w:val="nil"/>
            </w:tcBorders>
            <w:shd w:val="clear" w:color="auto" w:fill="auto"/>
            <w:noWrap/>
            <w:tcMar>
              <w:top w:w="15" w:type="dxa"/>
              <w:left w:w="15" w:type="dxa"/>
              <w:right w:w="15" w:type="dxa"/>
            </w:tcMar>
            <w:vAlign w:val="center"/>
          </w:tcPr>
          <w:p w14:paraId="291430CC">
            <w:pPr>
              <w:widowControl/>
              <w:jc w:val="center"/>
              <w:textAlignment w:val="center"/>
              <w:rPr>
                <w:rFonts w:ascii="宋体" w:hAnsi="宋体" w:eastAsia="宋体" w:cs="宋体"/>
                <w:b/>
                <w:color w:val="000000"/>
                <w:sz w:val="21"/>
                <w:szCs w:val="21"/>
                <w:highlight w:val="none"/>
              </w:rPr>
            </w:pPr>
            <w:r>
              <w:rPr>
                <w:rFonts w:hint="eastAsia" w:ascii="宋体" w:hAnsi="宋体" w:eastAsia="宋体" w:cs="宋体"/>
                <w:b/>
                <w:color w:val="000000"/>
                <w:kern w:val="0"/>
                <w:sz w:val="21"/>
                <w:szCs w:val="21"/>
                <w:highlight w:val="none"/>
                <w:lang w:val="en-US" w:eastAsia="zh-CN"/>
              </w:rPr>
              <w:t>体检</w:t>
            </w:r>
            <w:r>
              <w:rPr>
                <w:rFonts w:hint="eastAsia" w:ascii="宋体" w:hAnsi="宋体" w:eastAsia="宋体" w:cs="宋体"/>
                <w:b/>
                <w:color w:val="000000"/>
                <w:kern w:val="0"/>
                <w:sz w:val="21"/>
                <w:szCs w:val="21"/>
                <w:highlight w:val="none"/>
              </w:rPr>
              <w:t>项目</w:t>
            </w:r>
          </w:p>
        </w:tc>
        <w:tc>
          <w:tcPr>
            <w:tcW w:w="2152" w:type="dxa"/>
            <w:tcBorders>
              <w:tl2br w:val="nil"/>
              <w:tr2bl w:val="nil"/>
            </w:tcBorders>
            <w:shd w:val="clear" w:color="auto" w:fill="auto"/>
            <w:noWrap/>
            <w:tcMar>
              <w:top w:w="15" w:type="dxa"/>
              <w:left w:w="15" w:type="dxa"/>
              <w:right w:w="15" w:type="dxa"/>
            </w:tcMar>
            <w:vAlign w:val="center"/>
          </w:tcPr>
          <w:p w14:paraId="40A892F6">
            <w:pPr>
              <w:widowControl/>
              <w:jc w:val="center"/>
              <w:textAlignment w:val="center"/>
              <w:rPr>
                <w:rFonts w:hint="eastAsia" w:ascii="宋体" w:hAnsi="宋体" w:eastAsia="宋体" w:cs="宋体"/>
                <w:b/>
                <w:color w:val="000000"/>
                <w:kern w:val="0"/>
                <w:sz w:val="21"/>
                <w:szCs w:val="21"/>
                <w:highlight w:val="none"/>
                <w:lang w:val="en-US" w:eastAsia="zh-CN"/>
              </w:rPr>
            </w:pPr>
            <w:r>
              <w:rPr>
                <w:rFonts w:hint="eastAsia" w:ascii="宋体" w:hAnsi="宋体" w:eastAsia="宋体" w:cs="宋体"/>
                <w:b/>
                <w:color w:val="000000"/>
                <w:kern w:val="0"/>
                <w:sz w:val="21"/>
                <w:szCs w:val="21"/>
                <w:highlight w:val="none"/>
                <w:lang w:val="en-US" w:eastAsia="zh-CN"/>
              </w:rPr>
              <w:t>分项单价</w:t>
            </w:r>
          </w:p>
          <w:p w14:paraId="742DA4E9">
            <w:pPr>
              <w:widowControl/>
              <w:jc w:val="center"/>
              <w:textAlignment w:val="center"/>
              <w:rPr>
                <w:rFonts w:hint="eastAsia" w:ascii="宋体" w:hAnsi="宋体" w:eastAsia="宋体" w:cs="宋体"/>
                <w:b/>
                <w:color w:val="000000"/>
                <w:kern w:val="0"/>
                <w:sz w:val="21"/>
                <w:szCs w:val="21"/>
                <w:highlight w:val="none"/>
              </w:rPr>
            </w:pPr>
            <w:r>
              <w:rPr>
                <w:rFonts w:hint="eastAsia" w:ascii="宋体" w:hAnsi="宋体" w:eastAsia="宋体" w:cs="宋体"/>
                <w:b/>
                <w:color w:val="000000"/>
                <w:kern w:val="0"/>
                <w:sz w:val="21"/>
                <w:szCs w:val="21"/>
                <w:highlight w:val="none"/>
                <w:lang w:val="en-US" w:eastAsia="zh-CN"/>
              </w:rPr>
              <w:t>（含增值税）</w:t>
            </w:r>
          </w:p>
        </w:tc>
      </w:tr>
      <w:tr w14:paraId="62CFDB9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2" w:type="dxa"/>
            <w:tcBorders>
              <w:tl2br w:val="nil"/>
              <w:tr2bl w:val="nil"/>
            </w:tcBorders>
            <w:shd w:val="clear" w:color="auto" w:fill="auto"/>
            <w:noWrap/>
            <w:tcMar>
              <w:top w:w="15" w:type="dxa"/>
              <w:left w:w="15" w:type="dxa"/>
              <w:right w:w="15" w:type="dxa"/>
            </w:tcMar>
            <w:vAlign w:val="center"/>
          </w:tcPr>
          <w:p w14:paraId="56633216">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1</w:t>
            </w:r>
          </w:p>
        </w:tc>
        <w:tc>
          <w:tcPr>
            <w:tcW w:w="1984" w:type="dxa"/>
            <w:tcBorders>
              <w:tl2br w:val="nil"/>
              <w:tr2bl w:val="nil"/>
            </w:tcBorders>
            <w:shd w:val="clear" w:color="auto" w:fill="auto"/>
            <w:noWrap/>
            <w:tcMar>
              <w:top w:w="15" w:type="dxa"/>
              <w:left w:w="15" w:type="dxa"/>
              <w:right w:w="15" w:type="dxa"/>
            </w:tcMar>
            <w:vAlign w:val="center"/>
          </w:tcPr>
          <w:p w14:paraId="255B08E7">
            <w:pPr>
              <w:widowControl/>
              <w:jc w:val="center"/>
              <w:textAlignment w:val="center"/>
              <w:rPr>
                <w:rFonts w:ascii="宋体" w:hAnsi="宋体" w:eastAsia="宋体" w:cs="宋体"/>
                <w:bCs/>
                <w:color w:val="000000"/>
                <w:kern w:val="0"/>
                <w:sz w:val="21"/>
                <w:szCs w:val="21"/>
                <w:highlight w:val="none"/>
              </w:rPr>
            </w:pPr>
          </w:p>
        </w:tc>
        <w:tc>
          <w:tcPr>
            <w:tcW w:w="3168" w:type="dxa"/>
            <w:tcBorders>
              <w:tl2br w:val="nil"/>
              <w:tr2bl w:val="nil"/>
            </w:tcBorders>
            <w:shd w:val="clear" w:color="auto" w:fill="auto"/>
            <w:noWrap/>
            <w:tcMar>
              <w:top w:w="15" w:type="dxa"/>
              <w:left w:w="15" w:type="dxa"/>
              <w:right w:w="15" w:type="dxa"/>
            </w:tcMar>
            <w:vAlign w:val="center"/>
          </w:tcPr>
          <w:p w14:paraId="0B054E3F">
            <w:pPr>
              <w:widowControl/>
              <w:jc w:val="center"/>
              <w:textAlignment w:val="center"/>
              <w:rPr>
                <w:rFonts w:ascii="宋体" w:hAnsi="宋体" w:eastAsia="宋体" w:cs="宋体"/>
                <w:bCs/>
                <w:color w:val="000000"/>
                <w:kern w:val="0"/>
                <w:sz w:val="21"/>
                <w:szCs w:val="21"/>
                <w:highlight w:val="none"/>
              </w:rPr>
            </w:pPr>
          </w:p>
        </w:tc>
        <w:tc>
          <w:tcPr>
            <w:tcW w:w="2152" w:type="dxa"/>
            <w:tcBorders>
              <w:tl2br w:val="nil"/>
              <w:tr2bl w:val="nil"/>
            </w:tcBorders>
            <w:shd w:val="clear" w:color="auto" w:fill="auto"/>
            <w:noWrap/>
            <w:tcMar>
              <w:top w:w="15" w:type="dxa"/>
              <w:left w:w="15" w:type="dxa"/>
              <w:right w:w="15" w:type="dxa"/>
            </w:tcMar>
            <w:vAlign w:val="center"/>
          </w:tcPr>
          <w:p w14:paraId="3928A821">
            <w:pPr>
              <w:widowControl/>
              <w:jc w:val="center"/>
              <w:textAlignment w:val="center"/>
              <w:rPr>
                <w:rFonts w:ascii="宋体" w:hAnsi="宋体" w:eastAsia="宋体" w:cs="宋体"/>
                <w:bCs/>
                <w:color w:val="000000"/>
                <w:kern w:val="0"/>
                <w:sz w:val="21"/>
                <w:szCs w:val="21"/>
                <w:highlight w:val="none"/>
              </w:rPr>
            </w:pPr>
          </w:p>
        </w:tc>
      </w:tr>
      <w:tr w14:paraId="3D02DBEA">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732" w:type="dxa"/>
            <w:tcBorders>
              <w:tl2br w:val="nil"/>
              <w:tr2bl w:val="nil"/>
            </w:tcBorders>
            <w:shd w:val="clear" w:color="auto" w:fill="auto"/>
            <w:noWrap/>
            <w:tcMar>
              <w:top w:w="15" w:type="dxa"/>
              <w:left w:w="15" w:type="dxa"/>
              <w:right w:w="15" w:type="dxa"/>
            </w:tcMar>
            <w:vAlign w:val="center"/>
          </w:tcPr>
          <w:p w14:paraId="4E54CF55">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2</w:t>
            </w:r>
          </w:p>
        </w:tc>
        <w:tc>
          <w:tcPr>
            <w:tcW w:w="1984" w:type="dxa"/>
            <w:tcBorders>
              <w:tl2br w:val="nil"/>
              <w:tr2bl w:val="nil"/>
            </w:tcBorders>
            <w:shd w:val="clear" w:color="auto" w:fill="auto"/>
            <w:noWrap/>
            <w:tcMar>
              <w:top w:w="15" w:type="dxa"/>
              <w:left w:w="15" w:type="dxa"/>
              <w:right w:w="15" w:type="dxa"/>
            </w:tcMar>
            <w:vAlign w:val="center"/>
          </w:tcPr>
          <w:p w14:paraId="30618340">
            <w:pPr>
              <w:widowControl/>
              <w:jc w:val="center"/>
              <w:textAlignment w:val="center"/>
              <w:rPr>
                <w:rFonts w:ascii="宋体" w:hAnsi="宋体" w:eastAsia="宋体" w:cs="宋体"/>
                <w:bCs/>
                <w:color w:val="000000"/>
                <w:kern w:val="0"/>
                <w:sz w:val="21"/>
                <w:szCs w:val="21"/>
                <w:highlight w:val="none"/>
              </w:rPr>
            </w:pPr>
          </w:p>
        </w:tc>
        <w:tc>
          <w:tcPr>
            <w:tcW w:w="3168" w:type="dxa"/>
            <w:tcBorders>
              <w:tl2br w:val="nil"/>
              <w:tr2bl w:val="nil"/>
            </w:tcBorders>
            <w:shd w:val="clear" w:color="auto" w:fill="auto"/>
            <w:noWrap/>
            <w:tcMar>
              <w:top w:w="15" w:type="dxa"/>
              <w:left w:w="15" w:type="dxa"/>
              <w:right w:w="15" w:type="dxa"/>
            </w:tcMar>
            <w:vAlign w:val="center"/>
          </w:tcPr>
          <w:p w14:paraId="1B2714D6">
            <w:pPr>
              <w:widowControl/>
              <w:jc w:val="center"/>
              <w:textAlignment w:val="center"/>
              <w:rPr>
                <w:rFonts w:ascii="宋体" w:hAnsi="宋体" w:eastAsia="宋体" w:cs="宋体"/>
                <w:bCs/>
                <w:color w:val="000000"/>
                <w:kern w:val="0"/>
                <w:sz w:val="21"/>
                <w:szCs w:val="21"/>
                <w:highlight w:val="none"/>
              </w:rPr>
            </w:pPr>
          </w:p>
        </w:tc>
        <w:tc>
          <w:tcPr>
            <w:tcW w:w="2152" w:type="dxa"/>
            <w:tcBorders>
              <w:tl2br w:val="nil"/>
              <w:tr2bl w:val="nil"/>
            </w:tcBorders>
            <w:shd w:val="clear" w:color="auto" w:fill="auto"/>
            <w:noWrap/>
            <w:tcMar>
              <w:top w:w="15" w:type="dxa"/>
              <w:left w:w="15" w:type="dxa"/>
              <w:right w:w="15" w:type="dxa"/>
            </w:tcMar>
            <w:vAlign w:val="center"/>
          </w:tcPr>
          <w:p w14:paraId="6306C6B2">
            <w:pPr>
              <w:widowControl/>
              <w:jc w:val="center"/>
              <w:textAlignment w:val="center"/>
              <w:rPr>
                <w:rFonts w:ascii="宋体" w:hAnsi="宋体" w:eastAsia="宋体" w:cs="宋体"/>
                <w:bCs/>
                <w:color w:val="000000"/>
                <w:kern w:val="0"/>
                <w:sz w:val="21"/>
                <w:szCs w:val="21"/>
                <w:highlight w:val="none"/>
              </w:rPr>
            </w:pPr>
          </w:p>
        </w:tc>
      </w:tr>
      <w:tr w14:paraId="19A05EA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732" w:type="dxa"/>
            <w:tcBorders>
              <w:tl2br w:val="nil"/>
              <w:tr2bl w:val="nil"/>
            </w:tcBorders>
            <w:shd w:val="clear" w:color="auto" w:fill="auto"/>
            <w:noWrap/>
            <w:tcMar>
              <w:top w:w="15" w:type="dxa"/>
              <w:left w:w="15" w:type="dxa"/>
              <w:right w:w="15" w:type="dxa"/>
            </w:tcMar>
            <w:vAlign w:val="center"/>
          </w:tcPr>
          <w:p w14:paraId="2B3B6B93">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p>
        </w:tc>
        <w:tc>
          <w:tcPr>
            <w:tcW w:w="1984" w:type="dxa"/>
            <w:tcBorders>
              <w:tl2br w:val="nil"/>
              <w:tr2bl w:val="nil"/>
            </w:tcBorders>
            <w:shd w:val="clear" w:color="auto" w:fill="auto"/>
            <w:noWrap/>
            <w:tcMar>
              <w:top w:w="15" w:type="dxa"/>
              <w:left w:w="15" w:type="dxa"/>
              <w:right w:w="15" w:type="dxa"/>
            </w:tcMar>
            <w:vAlign w:val="center"/>
          </w:tcPr>
          <w:p w14:paraId="162832D5">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p>
        </w:tc>
        <w:tc>
          <w:tcPr>
            <w:tcW w:w="3168" w:type="dxa"/>
            <w:tcBorders>
              <w:tl2br w:val="nil"/>
              <w:tr2bl w:val="nil"/>
            </w:tcBorders>
            <w:shd w:val="clear" w:color="auto" w:fill="auto"/>
            <w:noWrap/>
            <w:tcMar>
              <w:top w:w="15" w:type="dxa"/>
              <w:left w:w="15" w:type="dxa"/>
              <w:right w:w="15" w:type="dxa"/>
            </w:tcMar>
            <w:vAlign w:val="center"/>
          </w:tcPr>
          <w:p w14:paraId="75F2F2E6">
            <w:pPr>
              <w:widowControl/>
              <w:jc w:val="center"/>
              <w:textAlignment w:val="center"/>
              <w:rPr>
                <w:rFonts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rPr>
              <w:t>...</w:t>
            </w:r>
          </w:p>
        </w:tc>
        <w:tc>
          <w:tcPr>
            <w:tcW w:w="2152" w:type="dxa"/>
            <w:tcBorders>
              <w:tl2br w:val="nil"/>
              <w:tr2bl w:val="nil"/>
            </w:tcBorders>
            <w:shd w:val="clear" w:color="auto" w:fill="auto"/>
            <w:noWrap/>
            <w:tcMar>
              <w:top w:w="15" w:type="dxa"/>
              <w:left w:w="15" w:type="dxa"/>
              <w:right w:w="15" w:type="dxa"/>
            </w:tcMar>
            <w:vAlign w:val="center"/>
          </w:tcPr>
          <w:p w14:paraId="37BC4434">
            <w:pPr>
              <w:widowControl/>
              <w:jc w:val="center"/>
              <w:textAlignment w:val="center"/>
              <w:rPr>
                <w:rFonts w:hint="eastAsia" w:ascii="宋体" w:hAnsi="宋体" w:eastAsia="宋体" w:cs="宋体"/>
                <w:bCs/>
                <w:color w:val="000000"/>
                <w:kern w:val="0"/>
                <w:sz w:val="21"/>
                <w:szCs w:val="21"/>
                <w:highlight w:val="none"/>
              </w:rPr>
            </w:pPr>
          </w:p>
        </w:tc>
      </w:tr>
      <w:tr w14:paraId="36932F3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377" w:hRule="atLeast"/>
          <w:jc w:val="center"/>
        </w:trPr>
        <w:tc>
          <w:tcPr>
            <w:tcW w:w="2716" w:type="dxa"/>
            <w:gridSpan w:val="2"/>
            <w:tcBorders>
              <w:tl2br w:val="nil"/>
              <w:tr2bl w:val="nil"/>
            </w:tcBorders>
            <w:shd w:val="clear" w:color="auto" w:fill="auto"/>
            <w:noWrap/>
            <w:tcMar>
              <w:top w:w="15" w:type="dxa"/>
              <w:left w:w="15" w:type="dxa"/>
              <w:right w:w="15" w:type="dxa"/>
            </w:tcMar>
            <w:vAlign w:val="center"/>
          </w:tcPr>
          <w:p w14:paraId="02BFEAE8">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套餐原价</w:t>
            </w:r>
          </w:p>
        </w:tc>
        <w:tc>
          <w:tcPr>
            <w:tcW w:w="3168" w:type="dxa"/>
            <w:tcBorders>
              <w:tl2br w:val="nil"/>
              <w:tr2bl w:val="nil"/>
            </w:tcBorders>
            <w:shd w:val="clear" w:color="auto" w:fill="auto"/>
            <w:noWrap/>
            <w:tcMar>
              <w:top w:w="15" w:type="dxa"/>
              <w:left w:w="15" w:type="dxa"/>
              <w:right w:w="15" w:type="dxa"/>
            </w:tcMar>
            <w:vAlign w:val="center"/>
          </w:tcPr>
          <w:p w14:paraId="49CEC323">
            <w:pPr>
              <w:widowControl/>
              <w:jc w:val="center"/>
              <w:textAlignment w:val="center"/>
              <w:rPr>
                <w:rFonts w:hint="eastAsia" w:ascii="宋体" w:hAnsi="宋体" w:eastAsia="宋体" w:cs="宋体"/>
                <w:bCs/>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w:t>
            </w:r>
          </w:p>
        </w:tc>
        <w:tc>
          <w:tcPr>
            <w:tcW w:w="2152" w:type="dxa"/>
            <w:tcBorders>
              <w:tl2br w:val="nil"/>
              <w:tr2bl w:val="nil"/>
            </w:tcBorders>
            <w:shd w:val="clear" w:color="auto" w:fill="auto"/>
            <w:noWrap/>
            <w:tcMar>
              <w:top w:w="15" w:type="dxa"/>
              <w:left w:w="15" w:type="dxa"/>
              <w:right w:w="15" w:type="dxa"/>
            </w:tcMar>
            <w:vAlign w:val="center"/>
          </w:tcPr>
          <w:p w14:paraId="60956980">
            <w:pPr>
              <w:widowControl/>
              <w:jc w:val="center"/>
              <w:textAlignment w:val="center"/>
              <w:rPr>
                <w:rFonts w:hint="eastAsia" w:ascii="宋体" w:hAnsi="宋体" w:eastAsia="宋体" w:cs="宋体"/>
                <w:bCs/>
                <w:color w:val="000000"/>
                <w:kern w:val="0"/>
                <w:sz w:val="21"/>
                <w:szCs w:val="21"/>
                <w:highlight w:val="none"/>
                <w:lang w:val="en-US" w:eastAsia="zh-CN"/>
              </w:rPr>
            </w:pPr>
          </w:p>
        </w:tc>
      </w:tr>
      <w:tr w14:paraId="0A42FE1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2716" w:type="dxa"/>
            <w:gridSpan w:val="2"/>
            <w:tcBorders>
              <w:tl2br w:val="nil"/>
              <w:tr2bl w:val="nil"/>
            </w:tcBorders>
            <w:shd w:val="clear" w:color="auto" w:fill="auto"/>
            <w:noWrap/>
            <w:tcMar>
              <w:top w:w="15" w:type="dxa"/>
              <w:left w:w="15" w:type="dxa"/>
              <w:right w:w="15" w:type="dxa"/>
            </w:tcMar>
            <w:vAlign w:val="center"/>
          </w:tcPr>
          <w:p w14:paraId="0C7607BE">
            <w:pPr>
              <w:widowControl/>
              <w:jc w:val="center"/>
              <w:textAlignment w:val="center"/>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rPr>
              <w:t>套餐小计</w:t>
            </w:r>
            <w:r>
              <w:rPr>
                <w:rFonts w:hint="eastAsia" w:ascii="宋体" w:hAnsi="宋体" w:eastAsia="宋体" w:cs="宋体"/>
                <w:b/>
                <w:bCs w:val="0"/>
                <w:color w:val="000000"/>
                <w:kern w:val="0"/>
                <w:sz w:val="21"/>
                <w:szCs w:val="21"/>
                <w:highlight w:val="none"/>
                <w:lang w:val="en-US" w:eastAsia="zh-CN"/>
              </w:rPr>
              <w:t>限价单价</w:t>
            </w:r>
          </w:p>
          <w:p w14:paraId="68086AB4">
            <w:pPr>
              <w:widowControl/>
              <w:jc w:val="center"/>
              <w:textAlignment w:val="center"/>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（综合单价不区分男女、婚姻状况、地区）</w:t>
            </w:r>
          </w:p>
        </w:tc>
        <w:tc>
          <w:tcPr>
            <w:tcW w:w="3168" w:type="dxa"/>
            <w:tcBorders>
              <w:tl2br w:val="nil"/>
              <w:tr2bl w:val="nil"/>
            </w:tcBorders>
            <w:shd w:val="clear" w:color="auto" w:fill="auto"/>
            <w:noWrap/>
            <w:tcMar>
              <w:top w:w="15" w:type="dxa"/>
              <w:left w:w="15" w:type="dxa"/>
              <w:right w:w="15" w:type="dxa"/>
            </w:tcMar>
            <w:vAlign w:val="center"/>
          </w:tcPr>
          <w:p w14:paraId="56774528">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w:t>
            </w:r>
          </w:p>
        </w:tc>
        <w:tc>
          <w:tcPr>
            <w:tcW w:w="2152" w:type="dxa"/>
            <w:tcBorders>
              <w:tl2br w:val="nil"/>
              <w:tr2bl w:val="nil"/>
            </w:tcBorders>
            <w:shd w:val="clear" w:color="auto" w:fill="auto"/>
            <w:noWrap/>
            <w:tcMar>
              <w:top w:w="15" w:type="dxa"/>
              <w:left w:w="15" w:type="dxa"/>
              <w:right w:w="15" w:type="dxa"/>
            </w:tcMar>
            <w:vAlign w:val="center"/>
          </w:tcPr>
          <w:p w14:paraId="525FB0DD">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500元/人</w:t>
            </w:r>
          </w:p>
        </w:tc>
      </w:tr>
      <w:tr w14:paraId="177ED83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227" w:hRule="atLeast"/>
          <w:jc w:val="center"/>
        </w:trPr>
        <w:tc>
          <w:tcPr>
            <w:tcW w:w="2716" w:type="dxa"/>
            <w:gridSpan w:val="2"/>
            <w:tcBorders>
              <w:tl2br w:val="nil"/>
              <w:tr2bl w:val="nil"/>
            </w:tcBorders>
            <w:shd w:val="clear" w:color="auto" w:fill="auto"/>
            <w:noWrap/>
            <w:tcMar>
              <w:top w:w="15" w:type="dxa"/>
              <w:left w:w="15" w:type="dxa"/>
              <w:right w:w="15" w:type="dxa"/>
            </w:tcMar>
            <w:vAlign w:val="center"/>
          </w:tcPr>
          <w:p w14:paraId="00E96D27">
            <w:pPr>
              <w:widowControl/>
              <w:jc w:val="center"/>
              <w:textAlignment w:val="center"/>
              <w:rPr>
                <w:rFonts w:hint="eastAsia" w:ascii="宋体" w:hAnsi="宋体" w:eastAsia="宋体" w:cs="宋体"/>
                <w:b/>
                <w:bCs w:val="0"/>
                <w:color w:val="000000"/>
                <w:kern w:val="0"/>
                <w:sz w:val="21"/>
                <w:szCs w:val="21"/>
                <w:highlight w:val="none"/>
                <w:lang w:val="en-US" w:eastAsia="zh-CN"/>
              </w:rPr>
            </w:pPr>
            <w:r>
              <w:rPr>
                <w:rFonts w:hint="eastAsia" w:ascii="宋体" w:hAnsi="宋体" w:eastAsia="宋体" w:cs="宋体"/>
                <w:b/>
                <w:bCs w:val="0"/>
                <w:color w:val="000000"/>
                <w:kern w:val="0"/>
                <w:sz w:val="21"/>
                <w:szCs w:val="21"/>
                <w:highlight w:val="none"/>
                <w:lang w:val="en-US" w:eastAsia="zh-CN"/>
              </w:rPr>
              <w:t>套餐小计投标价单价</w:t>
            </w:r>
          </w:p>
          <w:p w14:paraId="5FECECD6">
            <w:pPr>
              <w:widowControl/>
              <w:jc w:val="center"/>
              <w:textAlignment w:val="center"/>
              <w:rPr>
                <w:rFonts w:hint="eastAsia" w:ascii="宋体" w:hAnsi="宋体" w:eastAsia="宋体" w:cs="宋体"/>
                <w:b/>
                <w:bCs w:val="0"/>
                <w:color w:val="000000"/>
                <w:kern w:val="0"/>
                <w:sz w:val="21"/>
                <w:szCs w:val="21"/>
                <w:highlight w:val="none"/>
              </w:rPr>
            </w:pPr>
            <w:r>
              <w:rPr>
                <w:rFonts w:hint="eastAsia" w:ascii="宋体" w:hAnsi="宋体" w:eastAsia="宋体" w:cs="宋体"/>
                <w:bCs/>
                <w:color w:val="000000"/>
                <w:kern w:val="0"/>
                <w:sz w:val="21"/>
                <w:szCs w:val="21"/>
                <w:highlight w:val="none"/>
                <w:lang w:val="en-US" w:eastAsia="zh-CN"/>
              </w:rPr>
              <w:t>（综合单价不区分男女、婚姻状况、地区）</w:t>
            </w:r>
          </w:p>
        </w:tc>
        <w:tc>
          <w:tcPr>
            <w:tcW w:w="3168" w:type="dxa"/>
            <w:tcBorders>
              <w:tl2br w:val="nil"/>
              <w:tr2bl w:val="nil"/>
            </w:tcBorders>
            <w:shd w:val="clear" w:color="auto" w:fill="auto"/>
            <w:noWrap/>
            <w:tcMar>
              <w:top w:w="15" w:type="dxa"/>
              <w:left w:w="15" w:type="dxa"/>
              <w:right w:w="15" w:type="dxa"/>
            </w:tcMar>
            <w:vAlign w:val="center"/>
          </w:tcPr>
          <w:p w14:paraId="4591DAF3">
            <w:pPr>
              <w:widowControl/>
              <w:jc w:val="center"/>
              <w:textAlignment w:val="center"/>
              <w:rPr>
                <w:rFonts w:hint="default" w:ascii="宋体" w:hAnsi="宋体" w:eastAsia="宋体" w:cs="宋体"/>
                <w:bCs/>
                <w:color w:val="000000"/>
                <w:kern w:val="0"/>
                <w:sz w:val="21"/>
                <w:szCs w:val="21"/>
                <w:highlight w:val="none"/>
                <w:lang w:val="en-US" w:eastAsia="zh-CN"/>
              </w:rPr>
            </w:pPr>
            <w:r>
              <w:rPr>
                <w:rFonts w:hint="eastAsia" w:ascii="宋体" w:hAnsi="宋体" w:eastAsia="宋体" w:cs="宋体"/>
                <w:bCs/>
                <w:color w:val="000000"/>
                <w:kern w:val="0"/>
                <w:sz w:val="21"/>
                <w:szCs w:val="21"/>
                <w:highlight w:val="none"/>
                <w:lang w:val="en-US" w:eastAsia="zh-CN"/>
              </w:rPr>
              <w:t>/</w:t>
            </w:r>
          </w:p>
        </w:tc>
        <w:tc>
          <w:tcPr>
            <w:tcW w:w="2152" w:type="dxa"/>
            <w:tcBorders>
              <w:tl2br w:val="nil"/>
              <w:tr2bl w:val="nil"/>
            </w:tcBorders>
            <w:shd w:val="clear" w:color="auto" w:fill="auto"/>
            <w:noWrap/>
            <w:tcMar>
              <w:top w:w="15" w:type="dxa"/>
              <w:left w:w="15" w:type="dxa"/>
              <w:right w:w="15" w:type="dxa"/>
            </w:tcMar>
            <w:vAlign w:val="center"/>
          </w:tcPr>
          <w:p w14:paraId="4CBD81B2">
            <w:pPr>
              <w:widowControl/>
              <w:jc w:val="center"/>
              <w:textAlignment w:val="center"/>
              <w:rPr>
                <w:rFonts w:hint="eastAsia" w:ascii="宋体" w:hAnsi="宋体" w:eastAsia="宋体" w:cs="宋体"/>
                <w:bCs/>
                <w:color w:val="000000"/>
                <w:kern w:val="0"/>
                <w:sz w:val="21"/>
                <w:szCs w:val="21"/>
                <w:highlight w:val="none"/>
                <w:lang w:val="en-US" w:eastAsia="zh-CN"/>
              </w:rPr>
            </w:pPr>
          </w:p>
        </w:tc>
      </w:tr>
    </w:tbl>
    <w:p w14:paraId="5411A135">
      <w:pPr>
        <w:keepNext w:val="0"/>
        <w:keepLines w:val="0"/>
        <w:pageBreakBefore w:val="0"/>
        <w:widowControl w:val="0"/>
        <w:kinsoku/>
        <w:wordWrap/>
        <w:overflowPunct/>
        <w:topLinePunct w:val="0"/>
        <w:autoSpaceDE/>
        <w:autoSpaceDN/>
        <w:bidi w:val="0"/>
        <w:adjustRightInd w:val="0"/>
        <w:snapToGrid/>
        <w:spacing w:line="560" w:lineRule="exact"/>
        <w:ind w:firstLine="480" w:firstLineChars="200"/>
        <w:textAlignment w:val="auto"/>
        <w:rPr>
          <w:rFonts w:hint="eastAsia" w:ascii="黑体" w:hAnsi="黑体" w:eastAsia="黑体" w:cs="黑体"/>
          <w:b w:val="0"/>
          <w:bCs/>
          <w:sz w:val="24"/>
          <w:szCs w:val="24"/>
          <w:highlight w:val="none"/>
          <w:lang w:val="en-US" w:eastAsia="zh-CN"/>
        </w:rPr>
      </w:pPr>
      <w:r>
        <w:rPr>
          <w:rFonts w:hint="eastAsia" w:ascii="黑体" w:hAnsi="黑体" w:eastAsia="黑体" w:cs="黑体"/>
          <w:b w:val="0"/>
          <w:bCs/>
          <w:sz w:val="24"/>
          <w:szCs w:val="24"/>
          <w:highlight w:val="none"/>
          <w:lang w:val="en-US" w:eastAsia="zh-CN"/>
        </w:rPr>
        <w:t>三、价格合计：</w:t>
      </w:r>
    </w:p>
    <w:tbl>
      <w:tblPr>
        <w:tblStyle w:val="16"/>
        <w:tblW w:w="892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56"/>
        <w:gridCol w:w="2301"/>
        <w:gridCol w:w="1640"/>
        <w:gridCol w:w="2125"/>
      </w:tblGrid>
      <w:tr w14:paraId="640651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856" w:type="dxa"/>
            <w:tcBorders>
              <w:tl2br w:val="nil"/>
              <w:tr2bl w:val="nil"/>
            </w:tcBorders>
            <w:vAlign w:val="center"/>
          </w:tcPr>
          <w:p w14:paraId="732240A4">
            <w:pPr>
              <w:jc w:val="center"/>
              <w:rPr>
                <w:rFonts w:ascii="宋体" w:hAnsi="宋体"/>
                <w:b/>
                <w:szCs w:val="21"/>
                <w:highlight w:val="none"/>
              </w:rPr>
            </w:pPr>
            <w:r>
              <w:rPr>
                <w:rFonts w:hint="eastAsia" w:ascii="宋体" w:hAnsi="宋体"/>
                <w:b/>
                <w:szCs w:val="21"/>
                <w:highlight w:val="none"/>
              </w:rPr>
              <w:t>采购标准</w:t>
            </w:r>
          </w:p>
        </w:tc>
        <w:tc>
          <w:tcPr>
            <w:tcW w:w="2301" w:type="dxa"/>
            <w:tcBorders>
              <w:tl2br w:val="nil"/>
              <w:tr2bl w:val="nil"/>
            </w:tcBorders>
            <w:vAlign w:val="center"/>
          </w:tcPr>
          <w:p w14:paraId="26248D47">
            <w:pPr>
              <w:jc w:val="center"/>
              <w:rPr>
                <w:rFonts w:ascii="宋体" w:hAnsi="宋体"/>
                <w:b/>
                <w:szCs w:val="21"/>
                <w:highlight w:val="none"/>
              </w:rPr>
            </w:pPr>
            <w:r>
              <w:rPr>
                <w:rFonts w:hint="eastAsia" w:ascii="宋体" w:hAnsi="宋体"/>
                <w:b/>
                <w:szCs w:val="21"/>
                <w:highlight w:val="none"/>
              </w:rPr>
              <w:t>每单人体检套餐价格</w:t>
            </w:r>
            <w:r>
              <w:rPr>
                <w:rFonts w:hint="eastAsia" w:ascii="宋体" w:hAnsi="宋体"/>
                <w:b w:val="0"/>
                <w:bCs/>
                <w:szCs w:val="21"/>
                <w:highlight w:val="none"/>
              </w:rPr>
              <w:t>（含</w:t>
            </w:r>
            <w:r>
              <w:rPr>
                <w:rFonts w:hint="eastAsia" w:ascii="宋体" w:hAnsi="宋体"/>
                <w:b w:val="0"/>
                <w:bCs/>
                <w:szCs w:val="21"/>
                <w:highlight w:val="none"/>
                <w:lang w:val="en-US" w:eastAsia="zh-CN"/>
              </w:rPr>
              <w:t>增值</w:t>
            </w:r>
            <w:r>
              <w:rPr>
                <w:rFonts w:hint="eastAsia" w:ascii="宋体" w:hAnsi="宋体"/>
                <w:b w:val="0"/>
                <w:bCs/>
                <w:szCs w:val="21"/>
                <w:highlight w:val="none"/>
              </w:rPr>
              <w:t>税）</w:t>
            </w:r>
          </w:p>
        </w:tc>
        <w:tc>
          <w:tcPr>
            <w:tcW w:w="1640" w:type="dxa"/>
            <w:tcBorders>
              <w:tl2br w:val="nil"/>
              <w:tr2bl w:val="nil"/>
            </w:tcBorders>
            <w:vAlign w:val="center"/>
          </w:tcPr>
          <w:p w14:paraId="674E506C">
            <w:pPr>
              <w:jc w:val="center"/>
              <w:rPr>
                <w:rFonts w:ascii="宋体" w:hAnsi="宋体"/>
                <w:b/>
                <w:szCs w:val="21"/>
                <w:highlight w:val="none"/>
              </w:rPr>
            </w:pPr>
            <w:r>
              <w:rPr>
                <w:rFonts w:hint="eastAsia" w:ascii="宋体" w:hAnsi="宋体"/>
                <w:b/>
                <w:szCs w:val="21"/>
                <w:highlight w:val="none"/>
              </w:rPr>
              <w:t>预估体检人数</w:t>
            </w:r>
          </w:p>
        </w:tc>
        <w:tc>
          <w:tcPr>
            <w:tcW w:w="2125" w:type="dxa"/>
            <w:tcBorders>
              <w:tl2br w:val="nil"/>
              <w:tr2bl w:val="nil"/>
            </w:tcBorders>
            <w:vAlign w:val="center"/>
          </w:tcPr>
          <w:p w14:paraId="13EB5187">
            <w:pPr>
              <w:jc w:val="center"/>
              <w:rPr>
                <w:rFonts w:hint="eastAsia" w:ascii="宋体" w:hAnsi="宋体"/>
                <w:b/>
                <w:highlight w:val="none"/>
                <w:lang w:val="en-US" w:eastAsia="zh-CN"/>
              </w:rPr>
            </w:pPr>
            <w:r>
              <w:rPr>
                <w:rFonts w:hint="eastAsia" w:ascii="宋体" w:hAnsi="宋体"/>
                <w:b/>
                <w:highlight w:val="none"/>
              </w:rPr>
              <w:t>小计</w:t>
            </w:r>
            <w:r>
              <w:rPr>
                <w:rFonts w:hint="eastAsia" w:ascii="宋体" w:hAnsi="宋体"/>
                <w:b/>
                <w:highlight w:val="none"/>
                <w:lang w:val="en-US" w:eastAsia="zh-CN"/>
              </w:rPr>
              <w:t>价格</w:t>
            </w:r>
          </w:p>
          <w:p w14:paraId="60841247">
            <w:pPr>
              <w:jc w:val="center"/>
              <w:rPr>
                <w:rFonts w:hint="default" w:ascii="宋体" w:hAnsi="宋体" w:eastAsiaTheme="minorEastAsia"/>
                <w:b/>
                <w:szCs w:val="21"/>
                <w:highlight w:val="none"/>
                <w:lang w:val="en-US" w:eastAsia="zh-CN"/>
              </w:rPr>
            </w:pPr>
            <w:r>
              <w:rPr>
                <w:rFonts w:hint="eastAsia" w:ascii="宋体" w:hAnsi="宋体"/>
                <w:b w:val="0"/>
                <w:bCs/>
                <w:highlight w:val="none"/>
                <w:lang w:eastAsia="zh-CN"/>
              </w:rPr>
              <w:t>（</w:t>
            </w:r>
            <w:r>
              <w:rPr>
                <w:rFonts w:hint="eastAsia" w:ascii="宋体" w:hAnsi="宋体"/>
                <w:b w:val="0"/>
                <w:bCs/>
                <w:highlight w:val="none"/>
                <w:lang w:val="en-US" w:eastAsia="zh-CN"/>
              </w:rPr>
              <w:t>含增值税）</w:t>
            </w:r>
          </w:p>
        </w:tc>
      </w:tr>
      <w:tr w14:paraId="572BF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56" w:type="dxa"/>
            <w:tcBorders>
              <w:tl2br w:val="nil"/>
              <w:tr2bl w:val="nil"/>
            </w:tcBorders>
            <w:vAlign w:val="center"/>
          </w:tcPr>
          <w:p w14:paraId="5FB56396">
            <w:pPr>
              <w:widowControl/>
              <w:spacing w:line="320" w:lineRule="exact"/>
              <w:jc w:val="center"/>
              <w:rPr>
                <w:rFonts w:ascii="宋体" w:hAnsi="宋体" w:eastAsia="宋体" w:cs="宋体"/>
                <w:bCs/>
                <w:kern w:val="0"/>
                <w:szCs w:val="21"/>
                <w:highlight w:val="none"/>
              </w:rPr>
            </w:pPr>
            <w:r>
              <w:rPr>
                <w:rFonts w:hint="eastAsia" w:ascii="宋体" w:hAnsi="宋体" w:eastAsia="宋体" w:cs="宋体"/>
                <w:bCs/>
                <w:kern w:val="0"/>
                <w:szCs w:val="21"/>
                <w:highlight w:val="none"/>
              </w:rPr>
              <w:t>体检套餐（限价390元/人）</w:t>
            </w:r>
          </w:p>
        </w:tc>
        <w:tc>
          <w:tcPr>
            <w:tcW w:w="2301" w:type="dxa"/>
            <w:tcBorders>
              <w:tl2br w:val="nil"/>
              <w:tr2bl w:val="nil"/>
            </w:tcBorders>
            <w:vAlign w:val="center"/>
          </w:tcPr>
          <w:p w14:paraId="2ADD8BC8">
            <w:pPr>
              <w:widowControl/>
              <w:jc w:val="center"/>
              <w:rPr>
                <w:rFonts w:ascii="宋体" w:hAnsi="宋体" w:eastAsia="宋体" w:cs="宋体"/>
                <w:bCs/>
                <w:kern w:val="0"/>
                <w:szCs w:val="21"/>
                <w:highlight w:val="none"/>
              </w:rPr>
            </w:pPr>
          </w:p>
        </w:tc>
        <w:tc>
          <w:tcPr>
            <w:tcW w:w="1640" w:type="dxa"/>
            <w:tcBorders>
              <w:tl2br w:val="nil"/>
              <w:tr2bl w:val="nil"/>
            </w:tcBorders>
            <w:vAlign w:val="center"/>
          </w:tcPr>
          <w:p w14:paraId="495BEC6E">
            <w:pPr>
              <w:widowControl/>
              <w:jc w:val="center"/>
              <w:textAlignment w:val="center"/>
              <w:rPr>
                <w:rFonts w:hint="default" w:ascii="宋体" w:hAnsi="宋体" w:eastAsia="宋体" w:cs="宋体"/>
                <w:bCs/>
                <w:color w:val="000000"/>
                <w:szCs w:val="21"/>
                <w:highlight w:val="none"/>
                <w:lang w:val="en-US" w:eastAsia="zh-CN"/>
              </w:rPr>
            </w:pPr>
            <w:r>
              <w:rPr>
                <w:rFonts w:hint="eastAsia" w:ascii="宋体" w:hAnsi="宋体" w:eastAsia="宋体" w:cs="宋体"/>
                <w:bCs/>
                <w:color w:val="000000"/>
                <w:kern w:val="0"/>
                <w:szCs w:val="21"/>
                <w:highlight w:val="none"/>
                <w:lang w:val="en-US" w:eastAsia="zh-CN"/>
              </w:rPr>
              <w:t>474</w:t>
            </w:r>
          </w:p>
        </w:tc>
        <w:tc>
          <w:tcPr>
            <w:tcW w:w="2125" w:type="dxa"/>
            <w:tcBorders>
              <w:tl2br w:val="nil"/>
              <w:tr2bl w:val="nil"/>
            </w:tcBorders>
            <w:vAlign w:val="center"/>
          </w:tcPr>
          <w:p w14:paraId="57C2A89B">
            <w:pPr>
              <w:widowControl/>
              <w:jc w:val="center"/>
              <w:rPr>
                <w:rFonts w:ascii="宋体" w:hAnsi="宋体" w:eastAsia="宋体" w:cs="宋体"/>
                <w:bCs/>
                <w:kern w:val="0"/>
                <w:szCs w:val="21"/>
                <w:highlight w:val="none"/>
              </w:rPr>
            </w:pPr>
          </w:p>
        </w:tc>
      </w:tr>
      <w:tr w14:paraId="31CAE9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856" w:type="dxa"/>
            <w:tcBorders>
              <w:tl2br w:val="nil"/>
              <w:tr2bl w:val="nil"/>
            </w:tcBorders>
            <w:vAlign w:val="center"/>
          </w:tcPr>
          <w:p w14:paraId="45C52003">
            <w:pPr>
              <w:widowControl/>
              <w:spacing w:line="320" w:lineRule="exact"/>
              <w:jc w:val="center"/>
              <w:rPr>
                <w:rFonts w:hint="eastAsia" w:ascii="宋体" w:hAnsi="宋体" w:eastAsia="宋体" w:cs="宋体"/>
                <w:bCs/>
                <w:kern w:val="0"/>
                <w:szCs w:val="21"/>
                <w:highlight w:val="none"/>
              </w:rPr>
            </w:pPr>
            <w:r>
              <w:rPr>
                <w:rFonts w:hint="eastAsia" w:ascii="宋体" w:hAnsi="宋体" w:eastAsia="宋体" w:cs="宋体"/>
                <w:bCs/>
                <w:kern w:val="0"/>
                <w:szCs w:val="21"/>
                <w:highlight w:val="none"/>
              </w:rPr>
              <w:t>体检套餐（限价</w:t>
            </w:r>
            <w:r>
              <w:rPr>
                <w:rFonts w:hint="eastAsia" w:ascii="宋体" w:hAnsi="宋体" w:eastAsia="宋体" w:cs="宋体"/>
                <w:bCs/>
                <w:kern w:val="0"/>
                <w:szCs w:val="21"/>
                <w:highlight w:val="none"/>
                <w:lang w:val="en-US" w:eastAsia="zh-CN"/>
              </w:rPr>
              <w:t>500</w:t>
            </w:r>
            <w:r>
              <w:rPr>
                <w:rFonts w:hint="eastAsia" w:ascii="宋体" w:hAnsi="宋体" w:eastAsia="宋体" w:cs="宋体"/>
                <w:bCs/>
                <w:kern w:val="0"/>
                <w:szCs w:val="21"/>
                <w:highlight w:val="none"/>
              </w:rPr>
              <w:t>元/人）</w:t>
            </w:r>
          </w:p>
        </w:tc>
        <w:tc>
          <w:tcPr>
            <w:tcW w:w="2301" w:type="dxa"/>
            <w:tcBorders>
              <w:tl2br w:val="nil"/>
              <w:tr2bl w:val="nil"/>
            </w:tcBorders>
            <w:vAlign w:val="center"/>
          </w:tcPr>
          <w:p w14:paraId="4EF989EB">
            <w:pPr>
              <w:jc w:val="center"/>
              <w:rPr>
                <w:rFonts w:ascii="宋体" w:hAnsi="宋体" w:eastAsia="宋体" w:cs="宋体"/>
                <w:bCs/>
                <w:kern w:val="0"/>
                <w:szCs w:val="21"/>
                <w:highlight w:val="none"/>
              </w:rPr>
            </w:pPr>
          </w:p>
        </w:tc>
        <w:tc>
          <w:tcPr>
            <w:tcW w:w="1640" w:type="dxa"/>
            <w:tcBorders>
              <w:tl2br w:val="nil"/>
              <w:tr2bl w:val="nil"/>
            </w:tcBorders>
            <w:vAlign w:val="center"/>
          </w:tcPr>
          <w:p w14:paraId="354C1A2E">
            <w:pPr>
              <w:jc w:val="center"/>
              <w:rPr>
                <w:rFonts w:hint="default" w:ascii="宋体" w:hAnsi="宋体" w:eastAsia="宋体" w:cs="宋体"/>
                <w:bCs/>
                <w:color w:val="000000"/>
                <w:kern w:val="0"/>
                <w:szCs w:val="21"/>
                <w:highlight w:val="none"/>
                <w:lang w:val="en-US" w:eastAsia="zh-CN"/>
              </w:rPr>
            </w:pPr>
            <w:r>
              <w:rPr>
                <w:rFonts w:hint="eastAsia" w:ascii="宋体" w:hAnsi="宋体" w:eastAsia="宋体" w:cs="宋体"/>
                <w:bCs/>
                <w:color w:val="000000"/>
                <w:kern w:val="0"/>
                <w:szCs w:val="21"/>
                <w:highlight w:val="none"/>
                <w:lang w:val="en-US" w:eastAsia="zh-CN"/>
              </w:rPr>
              <w:t>312</w:t>
            </w:r>
          </w:p>
        </w:tc>
        <w:tc>
          <w:tcPr>
            <w:tcW w:w="2125" w:type="dxa"/>
            <w:tcBorders>
              <w:tl2br w:val="nil"/>
              <w:tr2bl w:val="nil"/>
            </w:tcBorders>
            <w:vAlign w:val="center"/>
          </w:tcPr>
          <w:p w14:paraId="62D81F53">
            <w:pPr>
              <w:jc w:val="center"/>
              <w:rPr>
                <w:rFonts w:ascii="宋体" w:hAnsi="宋体" w:eastAsia="宋体" w:cs="宋体"/>
                <w:bCs/>
                <w:kern w:val="0"/>
                <w:szCs w:val="21"/>
                <w:highlight w:val="none"/>
              </w:rPr>
            </w:pPr>
          </w:p>
        </w:tc>
      </w:tr>
      <w:tr w14:paraId="5DC974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856" w:type="dxa"/>
            <w:tcBorders>
              <w:tl2br w:val="nil"/>
              <w:tr2bl w:val="nil"/>
            </w:tcBorders>
            <w:vAlign w:val="center"/>
          </w:tcPr>
          <w:p w14:paraId="6A7B9DD2">
            <w:pPr>
              <w:widowControl/>
              <w:spacing w:line="320" w:lineRule="exact"/>
              <w:jc w:val="center"/>
              <w:rPr>
                <w:rFonts w:hint="eastAsia" w:ascii="宋体" w:hAnsi="宋体" w:eastAsia="宋体" w:cs="宋体"/>
                <w:b/>
                <w:kern w:val="0"/>
                <w:szCs w:val="21"/>
                <w:highlight w:val="none"/>
              </w:rPr>
            </w:pPr>
            <w:r>
              <w:rPr>
                <w:rFonts w:hint="eastAsia" w:ascii="宋体" w:hAnsi="宋体" w:eastAsia="宋体" w:cs="宋体"/>
                <w:b/>
                <w:kern w:val="0"/>
                <w:szCs w:val="21"/>
                <w:highlight w:val="none"/>
              </w:rPr>
              <w:t>项目总报价</w:t>
            </w:r>
          </w:p>
          <w:p w14:paraId="26EC3821">
            <w:pPr>
              <w:widowControl/>
              <w:spacing w:line="320" w:lineRule="exact"/>
              <w:jc w:val="center"/>
              <w:rPr>
                <w:rFonts w:hint="default" w:ascii="宋体" w:hAnsi="宋体" w:eastAsia="宋体" w:cs="宋体"/>
                <w:bCs/>
                <w:kern w:val="0"/>
                <w:szCs w:val="21"/>
                <w:highlight w:val="none"/>
                <w:lang w:val="en-US" w:eastAsia="zh-CN"/>
              </w:rPr>
            </w:pPr>
            <w:r>
              <w:rPr>
                <w:rFonts w:hint="eastAsia" w:ascii="宋体" w:hAnsi="宋体" w:eastAsia="宋体" w:cs="宋体"/>
                <w:b/>
                <w:kern w:val="0"/>
                <w:szCs w:val="21"/>
                <w:highlight w:val="none"/>
              </w:rPr>
              <w:t xml:space="preserve"> </w:t>
            </w:r>
            <w:r>
              <w:rPr>
                <w:rFonts w:hint="eastAsia" w:ascii="宋体" w:hAnsi="宋体" w:eastAsia="宋体" w:cs="宋体"/>
                <w:b w:val="0"/>
                <w:bCs/>
                <w:kern w:val="0"/>
                <w:szCs w:val="21"/>
                <w:highlight w:val="none"/>
                <w:lang w:eastAsia="zh-CN"/>
              </w:rPr>
              <w:t>（</w:t>
            </w:r>
            <w:r>
              <w:rPr>
                <w:rFonts w:hint="eastAsia" w:ascii="宋体" w:hAnsi="宋体" w:eastAsia="宋体" w:cs="宋体"/>
                <w:b w:val="0"/>
                <w:bCs/>
                <w:kern w:val="0"/>
                <w:szCs w:val="21"/>
                <w:highlight w:val="none"/>
                <w:lang w:val="en-US" w:eastAsia="zh-CN"/>
              </w:rPr>
              <w:t>含增值税）</w:t>
            </w:r>
          </w:p>
        </w:tc>
        <w:tc>
          <w:tcPr>
            <w:tcW w:w="6066" w:type="dxa"/>
            <w:gridSpan w:val="3"/>
            <w:tcBorders>
              <w:tl2br w:val="nil"/>
              <w:tr2bl w:val="nil"/>
            </w:tcBorders>
            <w:vAlign w:val="center"/>
          </w:tcPr>
          <w:p w14:paraId="70F2BB51">
            <w:pPr>
              <w:jc w:val="center"/>
              <w:rPr>
                <w:rFonts w:ascii="宋体" w:hAnsi="宋体"/>
                <w:bCs/>
                <w:szCs w:val="21"/>
                <w:highlight w:val="none"/>
              </w:rPr>
            </w:pPr>
          </w:p>
        </w:tc>
      </w:tr>
    </w:tbl>
    <w:p w14:paraId="2251FD0E">
      <w:pPr>
        <w:keepNext w:val="0"/>
        <w:keepLines w:val="0"/>
        <w:pageBreakBefore w:val="0"/>
        <w:widowControl w:val="0"/>
        <w:kinsoku/>
        <w:wordWrap/>
        <w:overflowPunct/>
        <w:topLinePunct w:val="0"/>
        <w:autoSpaceDE/>
        <w:autoSpaceDN/>
        <w:bidi w:val="0"/>
        <w:adjustRightInd w:val="0"/>
        <w:snapToGrid/>
        <w:spacing w:line="280" w:lineRule="exact"/>
        <w:ind w:firstLine="442" w:firstLineChars="200"/>
        <w:textAlignment w:val="auto"/>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2"/>
          <w:szCs w:val="22"/>
          <w:highlight w:val="none"/>
          <w:lang w:val="en-US" w:eastAsia="zh-CN"/>
        </w:rPr>
        <w:t>报价要求：</w:t>
      </w:r>
      <w:r>
        <w:rPr>
          <w:rFonts w:hint="eastAsia" w:ascii="仿宋" w:hAnsi="仿宋" w:eastAsia="仿宋" w:cs="仿宋"/>
          <w:b/>
          <w:bCs w:val="0"/>
          <w:sz w:val="24"/>
          <w:szCs w:val="24"/>
          <w:highlight w:val="none"/>
          <w:lang w:val="en-US" w:eastAsia="zh-CN"/>
        </w:rPr>
        <w:t xml:space="preserve"> </w:t>
      </w:r>
    </w:p>
    <w:p w14:paraId="72E90A87">
      <w:pPr>
        <w:keepNext w:val="0"/>
        <w:keepLines w:val="0"/>
        <w:pageBreakBefore w:val="0"/>
        <w:widowControl w:val="0"/>
        <w:numPr>
          <w:ilvl w:val="0"/>
          <w:numId w:val="15"/>
        </w:numPr>
        <w:kinsoku/>
        <w:wordWrap/>
        <w:overflowPunct/>
        <w:topLinePunct w:val="0"/>
        <w:autoSpaceDE/>
        <w:autoSpaceDN/>
        <w:bidi w:val="0"/>
        <w:adjustRightInd/>
        <w:snapToGrid/>
        <w:spacing w:line="280" w:lineRule="exact"/>
        <w:ind w:firstLine="440" w:firstLineChars="200"/>
        <w:textAlignment w:val="auto"/>
        <w:rPr>
          <w:rFonts w:hint="eastAsia" w:ascii="仿宋_GB2312" w:hAnsi="仿宋_GB2312" w:eastAsia="仿宋_GB2312" w:cs="仿宋_GB2312"/>
          <w:bCs/>
          <w:sz w:val="22"/>
          <w:szCs w:val="22"/>
          <w:highlight w:val="none"/>
        </w:rPr>
      </w:pPr>
      <w:r>
        <w:rPr>
          <w:rFonts w:hint="eastAsia" w:ascii="仿宋_GB2312" w:hAnsi="仿宋_GB2312" w:eastAsia="仿宋_GB2312" w:cs="仿宋_GB2312"/>
          <w:bCs/>
          <w:sz w:val="22"/>
          <w:szCs w:val="22"/>
          <w:highlight w:val="none"/>
        </w:rPr>
        <w:t>投标总报价不得超过本项目限价</w:t>
      </w:r>
      <w:r>
        <w:rPr>
          <w:rFonts w:hint="eastAsia" w:ascii="仿宋_GB2312" w:hAnsi="仿宋_GB2312" w:eastAsia="仿宋_GB2312" w:cs="仿宋_GB2312"/>
          <w:bCs/>
          <w:sz w:val="22"/>
          <w:szCs w:val="22"/>
          <w:highlight w:val="none"/>
          <w:lang w:val="en-US" w:eastAsia="zh-CN"/>
        </w:rPr>
        <w:t>人民币340860</w:t>
      </w:r>
      <w:r>
        <w:rPr>
          <w:rFonts w:hint="eastAsia" w:ascii="仿宋_GB2312" w:hAnsi="仿宋_GB2312" w:eastAsia="仿宋_GB2312" w:cs="仿宋_GB2312"/>
          <w:bCs/>
          <w:sz w:val="22"/>
          <w:szCs w:val="22"/>
          <w:highlight w:val="none"/>
        </w:rPr>
        <w:t>元</w:t>
      </w:r>
      <w:r>
        <w:rPr>
          <w:rFonts w:hint="eastAsia" w:ascii="仿宋_GB2312" w:hAnsi="仿宋_GB2312" w:eastAsia="仿宋_GB2312" w:cs="仿宋_GB2312"/>
          <w:bCs/>
          <w:sz w:val="22"/>
          <w:szCs w:val="22"/>
          <w:highlight w:val="none"/>
          <w:lang w:eastAsia="zh-CN"/>
        </w:rPr>
        <w:t>（</w:t>
      </w:r>
      <w:r>
        <w:rPr>
          <w:rFonts w:hint="eastAsia" w:ascii="仿宋_GB2312" w:hAnsi="仿宋_GB2312" w:eastAsia="仿宋_GB2312" w:cs="仿宋_GB2312"/>
          <w:bCs/>
          <w:sz w:val="22"/>
          <w:szCs w:val="22"/>
          <w:highlight w:val="none"/>
          <w:lang w:val="en-US" w:eastAsia="zh-CN"/>
        </w:rPr>
        <w:t>含增值税）</w:t>
      </w:r>
      <w:r>
        <w:rPr>
          <w:rFonts w:hint="eastAsia" w:ascii="仿宋_GB2312" w:hAnsi="仿宋_GB2312" w:eastAsia="仿宋_GB2312" w:cs="仿宋_GB2312"/>
          <w:bCs/>
          <w:sz w:val="22"/>
          <w:szCs w:val="22"/>
          <w:highlight w:val="none"/>
        </w:rPr>
        <w:t>，套餐分项价格不得超过对应限价，否则按废标处理。</w:t>
      </w:r>
    </w:p>
    <w:p w14:paraId="1CA30F2E">
      <w:pPr>
        <w:keepNext w:val="0"/>
        <w:keepLines w:val="0"/>
        <w:pageBreakBefore w:val="0"/>
        <w:widowControl w:val="0"/>
        <w:numPr>
          <w:ilvl w:val="0"/>
          <w:numId w:val="15"/>
        </w:numPr>
        <w:kinsoku/>
        <w:wordWrap/>
        <w:overflowPunct/>
        <w:topLinePunct w:val="0"/>
        <w:autoSpaceDE/>
        <w:autoSpaceDN/>
        <w:bidi w:val="0"/>
        <w:adjustRightInd/>
        <w:snapToGrid/>
        <w:spacing w:line="280" w:lineRule="exact"/>
        <w:ind w:firstLine="440" w:firstLineChars="200"/>
        <w:textAlignment w:val="auto"/>
        <w:rPr>
          <w:rFonts w:hint="eastAsia" w:ascii="仿宋_GB2312" w:hAnsi="仿宋_GB2312" w:eastAsia="仿宋_GB2312" w:cs="仿宋_GB2312"/>
          <w:bCs/>
          <w:sz w:val="22"/>
          <w:szCs w:val="22"/>
          <w:highlight w:val="none"/>
        </w:rPr>
      </w:pPr>
      <w:r>
        <w:rPr>
          <w:rFonts w:hint="eastAsia" w:ascii="仿宋_GB2312" w:hAnsi="仿宋_GB2312" w:eastAsia="仿宋_GB2312" w:cs="仿宋_GB2312"/>
          <w:bCs/>
          <w:sz w:val="22"/>
          <w:szCs w:val="22"/>
          <w:highlight w:val="none"/>
        </w:rPr>
        <w:t>本表数据逻辑应保持一致，否则应由投标人进行澄清，澄清后价格不可突破投标报价上限，如拒不澄清或澄清后价格突破投标文件中报价上限的，按废标处理；</w:t>
      </w:r>
    </w:p>
    <w:p w14:paraId="115BC71D">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_GB2312" w:hAnsi="仿宋_GB2312" w:eastAsia="仿宋_GB2312" w:cs="仿宋_GB2312"/>
          <w:b/>
          <w:bCs w:val="0"/>
          <w:sz w:val="22"/>
          <w:szCs w:val="22"/>
          <w:highlight w:val="none"/>
          <w:lang w:val="en-US" w:eastAsia="zh-CN"/>
        </w:rPr>
      </w:pPr>
      <w:r>
        <w:rPr>
          <w:rFonts w:hint="eastAsia" w:ascii="仿宋_GB2312" w:hAnsi="仿宋_GB2312" w:eastAsia="仿宋_GB2312" w:cs="仿宋_GB2312"/>
          <w:b w:val="0"/>
          <w:bCs/>
          <w:sz w:val="22"/>
          <w:szCs w:val="22"/>
          <w:highlight w:val="none"/>
          <w:lang w:val="en-US" w:eastAsia="zh-CN"/>
        </w:rPr>
        <w:t>3.</w:t>
      </w:r>
      <w:r>
        <w:rPr>
          <w:rFonts w:hint="eastAsia" w:ascii="仿宋_GB2312" w:hAnsi="仿宋_GB2312" w:eastAsia="仿宋_GB2312" w:cs="仿宋_GB2312"/>
          <w:b w:val="0"/>
          <w:bCs/>
          <w:sz w:val="22"/>
          <w:szCs w:val="22"/>
          <w:highlight w:val="none"/>
        </w:rPr>
        <w:t>此</w:t>
      </w:r>
      <w:r>
        <w:rPr>
          <w:rFonts w:hint="eastAsia" w:ascii="仿宋_GB2312" w:hAnsi="仿宋_GB2312" w:eastAsia="仿宋_GB2312" w:cs="仿宋_GB2312"/>
          <w:bCs/>
          <w:sz w:val="22"/>
          <w:szCs w:val="22"/>
          <w:highlight w:val="none"/>
        </w:rPr>
        <w:t>表应经法定代表人或授权代表人签名，并加盖投标人单位公章，否则无效，作废标处理</w:t>
      </w:r>
    </w:p>
    <w:p w14:paraId="07BE9925">
      <w:pPr>
        <w:keepNext w:val="0"/>
        <w:keepLines w:val="0"/>
        <w:pageBreakBefore w:val="0"/>
        <w:widowControl w:val="0"/>
        <w:kinsoku/>
        <w:wordWrap/>
        <w:overflowPunct/>
        <w:topLinePunct w:val="0"/>
        <w:autoSpaceDE/>
        <w:autoSpaceDN/>
        <w:bidi w:val="0"/>
        <w:adjustRightInd/>
        <w:snapToGrid/>
        <w:spacing w:line="280" w:lineRule="exact"/>
        <w:ind w:firstLine="442" w:firstLineChars="200"/>
        <w:textAlignment w:val="auto"/>
        <w:rPr>
          <w:rFonts w:hint="eastAsia" w:ascii="仿宋_GB2312" w:hAnsi="仿宋_GB2312" w:eastAsia="仿宋_GB2312" w:cs="仿宋_GB2312"/>
          <w:b/>
          <w:bCs w:val="0"/>
          <w:sz w:val="22"/>
          <w:szCs w:val="22"/>
          <w:highlight w:val="none"/>
          <w:lang w:val="en-US" w:eastAsia="zh-CN"/>
        </w:rPr>
      </w:pPr>
      <w:r>
        <w:rPr>
          <w:rFonts w:hint="eastAsia" w:ascii="仿宋_GB2312" w:hAnsi="仿宋_GB2312" w:eastAsia="仿宋_GB2312" w:cs="仿宋_GB2312"/>
          <w:b/>
          <w:bCs w:val="0"/>
          <w:sz w:val="22"/>
          <w:szCs w:val="22"/>
          <w:highlight w:val="none"/>
          <w:lang w:val="en-US" w:eastAsia="zh-CN"/>
        </w:rPr>
        <w:t>4.投标人应保证本表与本项目招标文件格式4体检套餐及项目清单 所承诺的体检项目内容均一致，如内容不一致的，按有利于招标人及招标人外派员工利益的理解执行。</w:t>
      </w:r>
    </w:p>
    <w:p w14:paraId="7613FE4F">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_GB2312" w:hAnsi="仿宋_GB2312" w:eastAsia="仿宋_GB2312" w:cs="仿宋_GB2312"/>
          <w:b/>
          <w:bCs w:val="0"/>
          <w:sz w:val="22"/>
          <w:szCs w:val="22"/>
          <w:highlight w:val="none"/>
        </w:rPr>
      </w:pPr>
      <w:r>
        <w:rPr>
          <w:rFonts w:hint="eastAsia" w:ascii="仿宋_GB2312" w:hAnsi="仿宋_GB2312" w:eastAsia="仿宋_GB2312" w:cs="仿宋_GB2312"/>
          <w:b w:val="0"/>
          <w:bCs/>
          <w:sz w:val="22"/>
          <w:szCs w:val="22"/>
          <w:highlight w:val="none"/>
          <w:lang w:val="en-US" w:eastAsia="zh-CN"/>
        </w:rPr>
        <w:t>5</w:t>
      </w:r>
      <w:r>
        <w:rPr>
          <w:rFonts w:hint="eastAsia" w:ascii="仿宋_GB2312" w:hAnsi="仿宋_GB2312" w:eastAsia="仿宋_GB2312" w:cs="仿宋_GB2312"/>
          <w:b w:val="0"/>
          <w:bCs/>
          <w:sz w:val="22"/>
          <w:szCs w:val="22"/>
          <w:highlight w:val="none"/>
        </w:rPr>
        <w:t>.投标人应按</w:t>
      </w:r>
      <w:r>
        <w:rPr>
          <w:rFonts w:hint="eastAsia" w:ascii="仿宋_GB2312" w:hAnsi="仿宋_GB2312" w:eastAsia="仿宋_GB2312" w:cs="仿宋_GB2312"/>
          <w:b w:val="0"/>
          <w:bCs/>
          <w:sz w:val="22"/>
          <w:szCs w:val="22"/>
          <w:highlight w:val="none"/>
          <w:lang w:val="en-US" w:eastAsia="zh-CN"/>
        </w:rPr>
        <w:t>本项目招标文件要求填写本表</w:t>
      </w:r>
      <w:r>
        <w:rPr>
          <w:rFonts w:hint="eastAsia" w:ascii="仿宋_GB2312" w:hAnsi="仿宋_GB2312" w:eastAsia="仿宋_GB2312" w:cs="仿宋_GB2312"/>
          <w:b w:val="0"/>
          <w:bCs/>
          <w:sz w:val="22"/>
          <w:szCs w:val="22"/>
          <w:highlight w:val="none"/>
        </w:rPr>
        <w:t>，不可缺项、漏项、错项，否则</w:t>
      </w:r>
      <w:r>
        <w:rPr>
          <w:rFonts w:hint="eastAsia" w:ascii="仿宋_GB2312" w:hAnsi="仿宋_GB2312" w:eastAsia="仿宋_GB2312" w:cs="仿宋_GB2312"/>
          <w:b w:val="0"/>
          <w:bCs/>
          <w:sz w:val="22"/>
          <w:szCs w:val="22"/>
          <w:highlight w:val="none"/>
          <w:lang w:val="en-US" w:eastAsia="zh-CN"/>
        </w:rPr>
        <w:t>将</w:t>
      </w:r>
      <w:r>
        <w:rPr>
          <w:rFonts w:hint="eastAsia" w:ascii="仿宋_GB2312" w:hAnsi="仿宋_GB2312" w:eastAsia="仿宋_GB2312" w:cs="仿宋_GB2312"/>
          <w:b w:val="0"/>
          <w:bCs/>
          <w:sz w:val="22"/>
          <w:szCs w:val="22"/>
          <w:highlight w:val="none"/>
        </w:rPr>
        <w:t>导致</w:t>
      </w:r>
      <w:r>
        <w:rPr>
          <w:rFonts w:hint="eastAsia" w:ascii="仿宋_GB2312" w:hAnsi="仿宋_GB2312" w:eastAsia="仿宋_GB2312" w:cs="仿宋_GB2312"/>
          <w:b w:val="0"/>
          <w:bCs/>
          <w:sz w:val="22"/>
          <w:szCs w:val="22"/>
          <w:highlight w:val="none"/>
          <w:lang w:val="en-US" w:eastAsia="zh-CN"/>
        </w:rPr>
        <w:t>投标无效</w:t>
      </w:r>
      <w:r>
        <w:rPr>
          <w:rFonts w:hint="eastAsia" w:ascii="仿宋_GB2312" w:hAnsi="仿宋_GB2312" w:eastAsia="仿宋_GB2312" w:cs="仿宋_GB2312"/>
          <w:b/>
          <w:bCs w:val="0"/>
          <w:sz w:val="22"/>
          <w:szCs w:val="22"/>
          <w:highlight w:val="none"/>
        </w:rPr>
        <w:t>；</w:t>
      </w:r>
    </w:p>
    <w:p w14:paraId="04F9E9C8">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_GB2312" w:hAnsi="仿宋_GB2312" w:eastAsia="仿宋_GB2312" w:cs="仿宋_GB2312"/>
          <w:bCs/>
          <w:sz w:val="22"/>
          <w:szCs w:val="22"/>
          <w:highlight w:val="none"/>
        </w:rPr>
      </w:pPr>
      <w:r>
        <w:rPr>
          <w:rFonts w:hint="eastAsia" w:ascii="仿宋_GB2312" w:hAnsi="仿宋_GB2312" w:eastAsia="仿宋_GB2312" w:cs="仿宋_GB2312"/>
          <w:bCs/>
          <w:sz w:val="22"/>
          <w:szCs w:val="22"/>
          <w:highlight w:val="none"/>
          <w:lang w:val="en-US" w:eastAsia="zh-CN"/>
        </w:rPr>
        <w:t>6</w:t>
      </w:r>
      <w:r>
        <w:rPr>
          <w:rFonts w:hint="eastAsia" w:ascii="仿宋_GB2312" w:hAnsi="仿宋_GB2312" w:eastAsia="仿宋_GB2312" w:cs="仿宋_GB2312"/>
          <w:bCs/>
          <w:sz w:val="22"/>
          <w:szCs w:val="22"/>
          <w:highlight w:val="none"/>
        </w:rPr>
        <w:t>.投标人如需对报价或其它内容加以说明，可在备注栏填写；</w:t>
      </w:r>
    </w:p>
    <w:p w14:paraId="45925603">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_GB2312" w:hAnsi="仿宋_GB2312" w:eastAsia="仿宋_GB2312" w:cs="仿宋_GB2312"/>
          <w:bCs/>
          <w:sz w:val="22"/>
          <w:szCs w:val="22"/>
          <w:highlight w:val="none"/>
        </w:rPr>
      </w:pPr>
      <w:r>
        <w:rPr>
          <w:rFonts w:hint="eastAsia" w:ascii="仿宋_GB2312" w:hAnsi="仿宋_GB2312" w:eastAsia="仿宋_GB2312" w:cs="仿宋_GB2312"/>
          <w:bCs/>
          <w:sz w:val="22"/>
          <w:szCs w:val="22"/>
          <w:highlight w:val="none"/>
          <w:lang w:val="en-US" w:eastAsia="zh-CN"/>
        </w:rPr>
        <w:t>7</w:t>
      </w:r>
      <w:r>
        <w:rPr>
          <w:rFonts w:hint="eastAsia" w:ascii="仿宋_GB2312" w:hAnsi="仿宋_GB2312" w:eastAsia="仿宋_GB2312" w:cs="仿宋_GB2312"/>
          <w:bCs/>
          <w:sz w:val="22"/>
          <w:szCs w:val="22"/>
          <w:highlight w:val="none"/>
        </w:rPr>
        <w:t>.投标金额大小写不一致的以大写为准。电子文档与纸质文档不一致的以纸质文档为准。正本与副本不一致的以正本为准。总价填列与计算结果不一致的以最终计算与修正结果为准。</w:t>
      </w:r>
    </w:p>
    <w:p w14:paraId="41BDDFB2">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65D9C9D">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6D34B890">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B720CA7">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65DD05C0">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651AF6E3">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4660392E">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B87E759">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3682C880">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3FE6A478">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2E0FDE3">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CA785EE">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3A118825">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190975AD">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1BACA018">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1399EAEA">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40EC1BAC">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65D733F">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3188739B">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4F9E34CD">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6E7097FC">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BD8A1A1">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E64CB08">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1839DE5C">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1A296EF">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4A3E9245">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62BB94DA">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DE87E07">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1C4598DC">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786C937">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5C3B37F">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5DA19EA8">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786E2E69">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6BEC4314">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09E0CC52">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331F460C">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4A786A81">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4E9E7F0A">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2BDF0BF6">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3E6F15F8">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08DBE52E">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23F30A95">
      <w:pPr>
        <w:keepNext w:val="0"/>
        <w:keepLines w:val="0"/>
        <w:pageBreakBefore w:val="0"/>
        <w:widowControl w:val="0"/>
        <w:kinsoku/>
        <w:wordWrap/>
        <w:overflowPunct/>
        <w:topLinePunct w:val="0"/>
        <w:autoSpaceDE/>
        <w:autoSpaceDN/>
        <w:bidi w:val="0"/>
        <w:adjustRightInd/>
        <w:snapToGrid/>
        <w:spacing w:line="280" w:lineRule="exact"/>
        <w:ind w:firstLine="440" w:firstLineChars="200"/>
        <w:textAlignment w:val="auto"/>
        <w:rPr>
          <w:rFonts w:hint="eastAsia" w:ascii="仿宋" w:hAnsi="仿宋" w:eastAsia="仿宋" w:cs="仿宋"/>
          <w:bCs/>
          <w:sz w:val="22"/>
          <w:szCs w:val="22"/>
          <w:highlight w:val="none"/>
        </w:rPr>
      </w:pPr>
    </w:p>
    <w:p w14:paraId="2EE25DB5">
      <w:pPr>
        <w:pStyle w:val="4"/>
        <w:pageBreakBefore w:val="0"/>
        <w:widowControl w:val="0"/>
        <w:kinsoku/>
        <w:wordWrap/>
        <w:overflowPunct/>
        <w:topLinePunct w:val="0"/>
        <w:autoSpaceDE/>
        <w:autoSpaceDN/>
        <w:bidi w:val="0"/>
        <w:adjustRightInd/>
        <w:snapToGrid/>
        <w:spacing w:line="560" w:lineRule="exact"/>
        <w:ind w:firstLine="482"/>
        <w:jc w:val="left"/>
        <w:textAlignment w:val="auto"/>
        <w:rPr>
          <w:rFonts w:hint="eastAsia" w:ascii="黑体" w:hAnsi="黑体" w:eastAsia="黑体" w:cs="黑体"/>
          <w:b w:val="0"/>
          <w:bCs/>
          <w:sz w:val="24"/>
          <w:szCs w:val="28"/>
          <w:highlight w:val="none"/>
          <w:lang w:val="zh-CN"/>
        </w:rPr>
      </w:pPr>
      <w:bookmarkStart w:id="76" w:name="_Toc3113"/>
      <w:r>
        <w:rPr>
          <w:rFonts w:hint="eastAsia" w:ascii="黑体" w:hAnsi="黑体" w:eastAsia="黑体" w:cs="黑体"/>
          <w:b w:val="0"/>
          <w:bCs/>
          <w:sz w:val="24"/>
          <w:szCs w:val="28"/>
          <w:highlight w:val="none"/>
          <w:lang w:val="zh-CN"/>
        </w:rPr>
        <w:t>格式</w:t>
      </w:r>
      <w:r>
        <w:rPr>
          <w:rFonts w:hint="eastAsia" w:ascii="黑体" w:hAnsi="黑体" w:eastAsia="黑体" w:cs="黑体"/>
          <w:b w:val="0"/>
          <w:bCs/>
          <w:sz w:val="24"/>
          <w:szCs w:val="28"/>
          <w:highlight w:val="none"/>
          <w:lang w:val="en-US" w:eastAsia="zh-CN"/>
        </w:rPr>
        <w:t>7</w:t>
      </w:r>
      <w:r>
        <w:rPr>
          <w:rFonts w:hint="eastAsia" w:ascii="黑体" w:hAnsi="黑体" w:eastAsia="黑体" w:cs="黑体"/>
          <w:b w:val="0"/>
          <w:bCs/>
          <w:sz w:val="24"/>
          <w:szCs w:val="28"/>
          <w:highlight w:val="none"/>
          <w:lang w:val="zh-CN"/>
        </w:rPr>
        <w:t>：</w:t>
      </w:r>
      <w:r>
        <w:rPr>
          <w:rFonts w:hint="eastAsia" w:ascii="黑体" w:hAnsi="黑体" w:eastAsia="黑体" w:cs="黑体"/>
          <w:b w:val="0"/>
          <w:bCs/>
          <w:sz w:val="24"/>
          <w:szCs w:val="28"/>
          <w:highlight w:val="none"/>
          <w:lang w:val="en-US" w:eastAsia="zh-CN"/>
        </w:rPr>
        <w:t>廉洁</w:t>
      </w:r>
      <w:r>
        <w:rPr>
          <w:rFonts w:hint="eastAsia" w:ascii="黑体" w:hAnsi="黑体" w:eastAsia="黑体" w:cs="黑体"/>
          <w:b w:val="0"/>
          <w:bCs/>
          <w:sz w:val="24"/>
          <w:szCs w:val="28"/>
          <w:highlight w:val="none"/>
          <w:lang w:val="zh-CN"/>
        </w:rPr>
        <w:t>承诺函</w:t>
      </w:r>
      <w:bookmarkEnd w:id="75"/>
      <w:bookmarkEnd w:id="76"/>
    </w:p>
    <w:p w14:paraId="024C15EE">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廉洁</w:t>
      </w:r>
      <w:r>
        <w:rPr>
          <w:rFonts w:hint="eastAsia" w:ascii="方正小标宋简体" w:hAnsi="方正小标宋简体" w:eastAsia="方正小标宋简体" w:cs="方正小标宋简体"/>
          <w:b w:val="0"/>
          <w:bCs/>
          <w:sz w:val="44"/>
          <w:szCs w:val="44"/>
          <w:highlight w:val="none"/>
        </w:rPr>
        <w:t>承诺函</w:t>
      </w:r>
    </w:p>
    <w:p w14:paraId="7C0D310A">
      <w:pPr>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highlight w:val="none"/>
        </w:rPr>
      </w:pPr>
    </w:p>
    <w:p w14:paraId="3AD1FB8F">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致 深圳市鹏劳人力资源管理有限公司：</w:t>
      </w:r>
    </w:p>
    <w:p w14:paraId="65DEB8CA">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我司有意参与贵司【</w:t>
      </w:r>
      <w:r>
        <w:rPr>
          <w:rFonts w:hint="eastAsia" w:ascii="仿宋" w:hAnsi="仿宋" w:eastAsia="仿宋" w:cs="仿宋"/>
          <w:bCs/>
          <w:sz w:val="24"/>
          <w:szCs w:val="24"/>
          <w:highlight w:val="none"/>
          <w:u w:val="single"/>
        </w:rPr>
        <w:t>项目名称</w:t>
      </w:r>
      <w:r>
        <w:rPr>
          <w:rFonts w:hint="eastAsia" w:ascii="仿宋" w:hAnsi="仿宋" w:eastAsia="仿宋" w:cs="仿宋"/>
          <w:bCs/>
          <w:sz w:val="24"/>
          <w:szCs w:val="24"/>
          <w:highlight w:val="none"/>
        </w:rPr>
        <w:t>】投标，为保证招投标工作的公平公正及充分竞争，在此，我司郑重承诺如下：</w:t>
      </w:r>
    </w:p>
    <w:p w14:paraId="75B0C9CF">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一、我司承诺在投标过程中对于如下行为坚决抵制并向贵司及时通报：</w:t>
      </w:r>
    </w:p>
    <w:p w14:paraId="116C7C53">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1.招标人或招标相关单位人员利用职务上的便利，自行或通过他人向我司推荐供应商（分包商）；</w:t>
      </w:r>
    </w:p>
    <w:p w14:paraId="72B111BB">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2.其他投标参与方自行或委托他人私下与我司联系串通投标事宜；</w:t>
      </w:r>
    </w:p>
    <w:p w14:paraId="4EEE9D73">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3.招标人、及招标相关单位的人员在招标投标过程中，人为设置障碍，索要或暗示索要现金、股票、股权、各种有价证券、支付凭证或贵重物品等。</w:t>
      </w:r>
    </w:p>
    <w:p w14:paraId="6558F219">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二、我司承诺依法合规参与本项目竞争，严格本公司投标代表及相关员工管理，具体内容如下：</w:t>
      </w:r>
    </w:p>
    <w:p w14:paraId="68206BD2">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1.我司不会以任何理由任何方式进行串通投标等不正当竞争的违法违规行为；</w:t>
      </w:r>
    </w:p>
    <w:p w14:paraId="3A12EE2B">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2.我司或我司员工不以任何理由任何方式，向贵司、及招标相关单位的人员赠送现金、股票、股权、各种有价证券、支付凭证或贵重物品等；</w:t>
      </w:r>
    </w:p>
    <w:p w14:paraId="5B53FB5F">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3.我司或我司员工不以任何理由任何方式，向贵司、及招标相关单位的人员发出健身、娱乐活动的邀请，或对贵司及招标相关单位的人员进行超标准接待；</w:t>
      </w:r>
    </w:p>
    <w:p w14:paraId="5C1E5205">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4.参与贵司项目投标及与投标相关的交流调研过程中，我司保证向贵司所提供信息的真实性和准确性，且不会将拟投标项目进行任何形式的转包或挂靠。</w:t>
      </w:r>
    </w:p>
    <w:p w14:paraId="5F6894A6">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参与贵司招标项目投标过程中，我司承诺所有招标相关信息交流在工作场所公开进行，文件传递应通过公司传真或工作邮箱。不私下打探招标项目非公开信息（如其他投标人信息、标底详细信息、评标专家信息、评标过程信息等），不与贵司、及招标相关单位的人员就招标相关信息进行私下商谈或者达成利益默契。</w:t>
      </w:r>
    </w:p>
    <w:p w14:paraId="2C7F5572">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6.我司及我司派出的投标代表及工作人员授权贵司对本项目下我司投标工作进行监督，在贵司办公场所内合理使用包括录音录像、派员监督等手段开展监督工作。</w:t>
      </w:r>
    </w:p>
    <w:p w14:paraId="232DBCFE">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7.如果我司中标，将严格遵照本项目招标文件需求、投标承诺及合同约定做到诚信履约，为贵司提供最优服务；</w:t>
      </w:r>
    </w:p>
    <w:p w14:paraId="0BDAA09D">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8.我司已认真核实了投标文件的全部资料，所有资料均为真实资料。我公司对投标文件中全部投标资料的真实性负责。</w:t>
      </w:r>
    </w:p>
    <w:p w14:paraId="1B53AE55">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以上承诺，如有违反，我司将配合贵司进行调查和严肃处理，并自行承担不能参与本项目投标或承包本项目的资格、以及今后可能不能参加贵司其他项目的投标、无法进入贵司供应商库等一切不利后果，并承担由此给贵司带来的损失。</w:t>
      </w:r>
    </w:p>
    <w:p w14:paraId="69A0ECF5">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p>
    <w:p w14:paraId="3B7D9D01">
      <w:pPr>
        <w:pageBreakBefore w:val="0"/>
        <w:widowControl/>
        <w:kinsoku/>
        <w:wordWrap/>
        <w:overflowPunct/>
        <w:topLinePunct w:val="0"/>
        <w:autoSpaceDE/>
        <w:autoSpaceDN/>
        <w:bidi w:val="0"/>
        <w:adjustRightInd/>
        <w:snapToGrid/>
        <w:spacing w:line="280" w:lineRule="exact"/>
        <w:ind w:firstLine="547" w:firstLineChars="228"/>
        <w:jc w:val="left"/>
        <w:textAlignment w:val="auto"/>
        <w:rPr>
          <w:rFonts w:hint="eastAsia" w:ascii="仿宋" w:hAnsi="仿宋" w:eastAsia="仿宋" w:cs="仿宋"/>
          <w:bCs/>
          <w:sz w:val="24"/>
          <w:szCs w:val="24"/>
          <w:highlight w:val="none"/>
        </w:rPr>
      </w:pPr>
    </w:p>
    <w:p w14:paraId="518E4B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2"/>
          <w:szCs w:val="22"/>
          <w:highlight w:val="none"/>
        </w:rPr>
      </w:pPr>
      <w:r>
        <w:rPr>
          <w:rFonts w:hint="eastAsia" w:ascii="仿宋" w:hAnsi="仿宋" w:eastAsia="仿宋" w:cs="仿宋"/>
          <w:b w:val="0"/>
          <w:bCs/>
          <w:kern w:val="0"/>
          <w:sz w:val="22"/>
          <w:szCs w:val="22"/>
          <w:highlight w:val="none"/>
        </w:rPr>
        <w:t>投标方名称（公章）：</w:t>
      </w:r>
    </w:p>
    <w:p w14:paraId="25E7460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2"/>
          <w:szCs w:val="22"/>
          <w:highlight w:val="none"/>
        </w:rPr>
      </w:pPr>
      <w:r>
        <w:rPr>
          <w:rFonts w:hint="eastAsia" w:ascii="仿宋" w:hAnsi="仿宋" w:eastAsia="仿宋" w:cs="仿宋"/>
          <w:b w:val="0"/>
          <w:bCs/>
          <w:kern w:val="0"/>
          <w:sz w:val="22"/>
          <w:szCs w:val="22"/>
          <w:highlight w:val="none"/>
        </w:rPr>
        <w:t>法定代表人（法定授权代表人）签名：</w:t>
      </w:r>
    </w:p>
    <w:p w14:paraId="2FC0F4B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2"/>
          <w:szCs w:val="22"/>
          <w:highlight w:val="none"/>
        </w:rPr>
      </w:pPr>
      <w:r>
        <w:rPr>
          <w:rFonts w:hint="eastAsia" w:ascii="仿宋" w:hAnsi="仿宋" w:eastAsia="仿宋" w:cs="仿宋"/>
          <w:b w:val="0"/>
          <w:bCs/>
          <w:kern w:val="0"/>
          <w:sz w:val="22"/>
          <w:szCs w:val="22"/>
          <w:highlight w:val="none"/>
        </w:rPr>
        <w:t>日期：</w:t>
      </w:r>
    </w:p>
    <w:p w14:paraId="4C6975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2"/>
          <w:szCs w:val="22"/>
          <w:highlight w:val="none"/>
        </w:rPr>
      </w:pPr>
    </w:p>
    <w:p w14:paraId="3B6E86E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2"/>
          <w:szCs w:val="22"/>
          <w:highlight w:val="none"/>
        </w:rPr>
      </w:pPr>
    </w:p>
    <w:p w14:paraId="12CF43C5">
      <w:pPr>
        <w:pStyle w:val="4"/>
        <w:pageBreakBefore w:val="0"/>
        <w:widowControl w:val="0"/>
        <w:kinsoku/>
        <w:wordWrap/>
        <w:overflowPunct/>
        <w:topLinePunct w:val="0"/>
        <w:autoSpaceDE/>
        <w:autoSpaceDN/>
        <w:bidi w:val="0"/>
        <w:adjustRightInd/>
        <w:snapToGrid/>
        <w:spacing w:line="560" w:lineRule="exact"/>
        <w:ind w:firstLine="482"/>
        <w:jc w:val="left"/>
        <w:textAlignment w:val="auto"/>
        <w:rPr>
          <w:rFonts w:hint="eastAsia" w:ascii="黑体" w:hAnsi="黑体" w:eastAsia="黑体" w:cs="黑体"/>
          <w:b w:val="0"/>
          <w:bCs/>
          <w:sz w:val="24"/>
          <w:szCs w:val="28"/>
          <w:highlight w:val="none"/>
          <w:lang w:val="zh-CN"/>
        </w:rPr>
      </w:pPr>
      <w:bookmarkStart w:id="77" w:name="_Toc26704"/>
      <w:bookmarkStart w:id="78" w:name="_Toc18809"/>
      <w:r>
        <w:rPr>
          <w:rFonts w:hint="eastAsia" w:ascii="黑体" w:hAnsi="黑体" w:eastAsia="黑体" w:cs="黑体"/>
          <w:b w:val="0"/>
          <w:bCs/>
          <w:sz w:val="24"/>
          <w:szCs w:val="28"/>
          <w:highlight w:val="none"/>
          <w:lang w:val="zh-CN"/>
        </w:rPr>
        <w:t>格式</w:t>
      </w:r>
      <w:r>
        <w:rPr>
          <w:rFonts w:hint="eastAsia" w:ascii="黑体" w:hAnsi="黑体" w:eastAsia="黑体" w:cs="黑体"/>
          <w:b w:val="0"/>
          <w:bCs/>
          <w:sz w:val="24"/>
          <w:szCs w:val="28"/>
          <w:highlight w:val="none"/>
          <w:lang w:val="en-US" w:eastAsia="zh-CN"/>
        </w:rPr>
        <w:t>8</w:t>
      </w:r>
      <w:r>
        <w:rPr>
          <w:rFonts w:hint="eastAsia" w:ascii="黑体" w:hAnsi="黑体" w:eastAsia="黑体" w:cs="黑体"/>
          <w:b w:val="0"/>
          <w:bCs/>
          <w:sz w:val="24"/>
          <w:szCs w:val="28"/>
          <w:highlight w:val="none"/>
          <w:lang w:val="zh-CN"/>
        </w:rPr>
        <w:t>：</w:t>
      </w:r>
      <w:r>
        <w:rPr>
          <w:rFonts w:hint="eastAsia" w:ascii="黑体" w:hAnsi="黑体" w:eastAsia="黑体" w:cs="黑体"/>
          <w:b w:val="0"/>
          <w:bCs/>
          <w:sz w:val="24"/>
          <w:szCs w:val="28"/>
          <w:highlight w:val="none"/>
          <w:lang w:val="en-US" w:eastAsia="zh-CN"/>
        </w:rPr>
        <w:t>服务保价</w:t>
      </w:r>
      <w:r>
        <w:rPr>
          <w:rFonts w:hint="eastAsia" w:ascii="黑体" w:hAnsi="黑体" w:eastAsia="黑体" w:cs="黑体"/>
          <w:b w:val="0"/>
          <w:bCs/>
          <w:sz w:val="24"/>
          <w:szCs w:val="28"/>
          <w:highlight w:val="none"/>
          <w:lang w:val="zh-CN"/>
        </w:rPr>
        <w:t>承诺函</w:t>
      </w:r>
      <w:bookmarkEnd w:id="77"/>
      <w:bookmarkEnd w:id="78"/>
    </w:p>
    <w:p w14:paraId="1F3FB000">
      <w:pPr>
        <w:keepNext w:val="0"/>
        <w:keepLines w:val="0"/>
        <w:pageBreakBefore w:val="0"/>
        <w:widowControl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65F2CAB4">
      <w:pPr>
        <w:keepNext w:val="0"/>
        <w:keepLines w:val="0"/>
        <w:pageBreakBefore w:val="0"/>
        <w:widowControl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服务保价承诺函</w:t>
      </w:r>
    </w:p>
    <w:p w14:paraId="270DD9CC">
      <w:pPr>
        <w:keepNext w:val="0"/>
        <w:keepLines w:val="0"/>
        <w:pageBreakBefore w:val="0"/>
        <w:widowControl w:val="0"/>
        <w:kinsoku/>
        <w:overflowPunct/>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highlight w:val="none"/>
          <w:lang w:val="en-US" w:eastAsia="zh-CN"/>
        </w:rPr>
      </w:pPr>
    </w:p>
    <w:p w14:paraId="025B0AFF">
      <w:pPr>
        <w:keepNext w:val="0"/>
        <w:keepLines w:val="0"/>
        <w:pageBreakBefore w:val="0"/>
        <w:widowControl w:val="0"/>
        <w:kinsoku/>
        <w:overflowPunct/>
        <w:autoSpaceDE/>
        <w:autoSpaceDN/>
        <w:bidi w:val="0"/>
        <w:adjustRightInd/>
        <w:snapToGrid/>
        <w:spacing w:line="560" w:lineRule="exact"/>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致：深圳市鹏劳人力资源管理有限公司</w:t>
      </w:r>
    </w:p>
    <w:p w14:paraId="72184E23">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方参与贵司2024年度外派员工健康体检服务项目投标，如我司中标本项目，我司就本项目所有项目体检价格折扣优惠作出承诺，如获选中标，在实际履约过程中违反承诺的，视同违约并承担不利后果，具体承诺内容如下：</w:t>
      </w:r>
    </w:p>
    <w:p w14:paraId="6955A1C9">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我司承诺本项目下，包括投标、谈判阶段所作出的所有体检价格折扣基础均按我司对统一门市价</w:t>
      </w:r>
      <w:r>
        <w:rPr>
          <w:rFonts w:hint="default" w:ascii="仿宋_GB2312" w:hAnsi="仿宋_GB2312" w:eastAsia="仿宋_GB2312" w:cs="仿宋_GB2312"/>
          <w:sz w:val="32"/>
          <w:szCs w:val="32"/>
          <w:highlight w:val="none"/>
          <w:lang w:eastAsia="zh-CN"/>
        </w:rPr>
        <w:t>执行</w:t>
      </w:r>
      <w:r>
        <w:rPr>
          <w:rFonts w:hint="eastAsia" w:ascii="仿宋_GB2312" w:hAnsi="仿宋_GB2312" w:eastAsia="仿宋_GB2312" w:cs="仿宋_GB2312"/>
          <w:sz w:val="32"/>
          <w:szCs w:val="32"/>
          <w:highlight w:val="none"/>
          <w:lang w:val="en-US" w:eastAsia="zh-CN"/>
        </w:rPr>
        <w:t>，无虚增价格的情况，我司接受招标人在</w:t>
      </w:r>
      <w:r>
        <w:rPr>
          <w:rFonts w:hint="default" w:ascii="仿宋_GB2312" w:hAnsi="仿宋_GB2312" w:eastAsia="仿宋_GB2312" w:cs="仿宋_GB2312"/>
          <w:sz w:val="32"/>
          <w:szCs w:val="32"/>
          <w:highlight w:val="none"/>
          <w:lang w:eastAsia="zh-CN"/>
        </w:rPr>
        <w:t>采购全阶段</w:t>
      </w:r>
      <w:r>
        <w:rPr>
          <w:rFonts w:hint="eastAsia" w:ascii="仿宋_GB2312" w:hAnsi="仿宋_GB2312" w:eastAsia="仿宋_GB2312" w:cs="仿宋_GB2312"/>
          <w:sz w:val="32"/>
          <w:szCs w:val="32"/>
          <w:highlight w:val="none"/>
          <w:lang w:val="en-US" w:eastAsia="zh-CN"/>
        </w:rPr>
        <w:t>对</w:t>
      </w:r>
      <w:r>
        <w:rPr>
          <w:rFonts w:hint="default" w:ascii="仿宋_GB2312" w:hAnsi="仿宋_GB2312" w:eastAsia="仿宋_GB2312" w:cs="仿宋_GB2312"/>
          <w:sz w:val="32"/>
          <w:szCs w:val="32"/>
          <w:highlight w:val="none"/>
          <w:lang w:eastAsia="zh-CN"/>
        </w:rPr>
        <w:t>承诺有效性</w:t>
      </w:r>
      <w:r>
        <w:rPr>
          <w:rFonts w:hint="eastAsia" w:ascii="仿宋_GB2312" w:hAnsi="仿宋_GB2312" w:eastAsia="仿宋_GB2312" w:cs="仿宋_GB2312"/>
          <w:sz w:val="32"/>
          <w:szCs w:val="32"/>
          <w:highlight w:val="none"/>
          <w:lang w:val="en-US" w:eastAsia="zh-CN"/>
        </w:rPr>
        <w:t>实施复核，如复核不符合招标文件要求的，我司自动放弃成交。</w:t>
      </w:r>
    </w:p>
    <w:p w14:paraId="6E40DBC6">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04348EB8">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p>
    <w:p w14:paraId="59CA7EC2">
      <w:pPr>
        <w:keepNext w:val="0"/>
        <w:keepLines w:val="0"/>
        <w:pageBreakBefore w:val="0"/>
        <w:widowControl w:val="0"/>
        <w:kinsoku/>
        <w:wordWrap w:val="0"/>
        <w:overflowPunct/>
        <w:topLinePunct/>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highlight w:val="none"/>
          <w:lang w:val="en-US" w:eastAsia="zh-CN"/>
        </w:rPr>
      </w:pPr>
    </w:p>
    <w:p w14:paraId="24EE30E1">
      <w:pPr>
        <w:keepNext w:val="0"/>
        <w:keepLines w:val="0"/>
        <w:pageBreakBefore w:val="0"/>
        <w:widowControl w:val="0"/>
        <w:kinsoku/>
        <w:overflowPunct/>
        <w:autoSpaceDE/>
        <w:autoSpaceDN/>
        <w:bidi w:val="0"/>
        <w:adjustRightInd/>
        <w:snapToGrid/>
        <w:spacing w:line="560" w:lineRule="exact"/>
        <w:ind w:firstLine="422"/>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投标人名称（公章）：</w:t>
      </w:r>
    </w:p>
    <w:p w14:paraId="58AFCB49">
      <w:pPr>
        <w:keepNext w:val="0"/>
        <w:keepLines w:val="0"/>
        <w:pageBreakBefore w:val="0"/>
        <w:widowControl w:val="0"/>
        <w:kinsoku/>
        <w:overflowPunct/>
        <w:autoSpaceDE/>
        <w:autoSpaceDN/>
        <w:bidi w:val="0"/>
        <w:adjustRightInd/>
        <w:snapToGrid/>
        <w:spacing w:line="560" w:lineRule="exact"/>
        <w:ind w:firstLine="422"/>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法定代表人（法定授权代表人）签名：</w:t>
      </w:r>
    </w:p>
    <w:p w14:paraId="0F3E7122">
      <w:pPr>
        <w:keepNext w:val="0"/>
        <w:keepLines w:val="0"/>
        <w:pageBreakBefore w:val="0"/>
        <w:widowControl w:val="0"/>
        <w:kinsoku/>
        <w:overflowPunct/>
        <w:autoSpaceDE/>
        <w:autoSpaceDN/>
        <w:bidi w:val="0"/>
        <w:adjustRightInd/>
        <w:snapToGrid/>
        <w:spacing w:line="560" w:lineRule="exact"/>
        <w:ind w:firstLine="422"/>
        <w:jc w:val="left"/>
        <w:textAlignment w:val="auto"/>
        <w:rPr>
          <w:rFonts w:hint="eastAsia" w:ascii="仿宋_GB2312" w:hAnsi="仿宋_GB2312" w:eastAsia="仿宋_GB2312" w:cs="仿宋_GB2312"/>
          <w:b w:val="0"/>
          <w:bCs/>
          <w:color w:val="000000"/>
          <w:kern w:val="0"/>
          <w:sz w:val="24"/>
          <w:szCs w:val="24"/>
          <w:highlight w:val="none"/>
        </w:rPr>
      </w:pPr>
      <w:r>
        <w:rPr>
          <w:rFonts w:hint="eastAsia" w:ascii="仿宋_GB2312" w:hAnsi="仿宋_GB2312" w:eastAsia="仿宋_GB2312" w:cs="仿宋_GB2312"/>
          <w:b w:val="0"/>
          <w:bCs/>
          <w:color w:val="000000"/>
          <w:kern w:val="0"/>
          <w:sz w:val="24"/>
          <w:szCs w:val="24"/>
          <w:highlight w:val="none"/>
        </w:rPr>
        <w:t>日期：</w:t>
      </w:r>
    </w:p>
    <w:p w14:paraId="4F042D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b w:val="0"/>
          <w:bCs/>
          <w:kern w:val="0"/>
          <w:sz w:val="22"/>
          <w:szCs w:val="22"/>
          <w:highlight w:val="none"/>
        </w:rPr>
      </w:pPr>
    </w:p>
    <w:sectPr>
      <w:headerReference r:id="rId7" w:type="default"/>
      <w:footerReference r:id="rId8" w:type="default"/>
      <w:pgSz w:w="11906" w:h="16838"/>
      <w:pgMar w:top="1440" w:right="1274" w:bottom="1135" w:left="1418" w:header="851" w:footer="274"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5BD2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D0293">
    <w:pPr>
      <w:pStyle w:val="1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370F488">
                          <w:pPr>
                            <w:pStyle w:val="10"/>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6370F488">
                    <w:pPr>
                      <w:pStyle w:val="10"/>
                      <w:rPr>
                        <w:rFonts w:eastAsiaTheme="minorEastAsia"/>
                      </w:rPr>
                    </w:pPr>
                    <w:r>
                      <w:rPr>
                        <w:rFonts w:hint="eastAsia"/>
                      </w:rPr>
                      <w:t xml:space="preserve">第 </w:t>
                    </w:r>
                    <w:r>
                      <w:fldChar w:fldCharType="begin"/>
                    </w:r>
                    <w:r>
                      <w:instrText xml:space="preserve"> PAGE  \* MERGEFORMAT </w:instrText>
                    </w:r>
                    <w:r>
                      <w:fldChar w:fldCharType="separate"/>
                    </w:r>
                    <w:r>
                      <w:t>1</w:t>
                    </w:r>
                    <w: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BF83">
    <w:pPr>
      <w:pStyle w:val="1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FFC580B">
                          <w:pPr>
                            <w:pStyle w:val="10"/>
                            <w:rPr>
                              <w:rFonts w:eastAsiaTheme="minorEastAsia"/>
                            </w:rP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0FFC580B">
                    <w:pPr>
                      <w:pStyle w:val="10"/>
                      <w:rPr>
                        <w:rFonts w:eastAsiaTheme="minorEastAsia"/>
                      </w:rPr>
                    </w:pPr>
                    <w:r>
                      <w:rPr>
                        <w:rFonts w:hint="eastAsia"/>
                      </w:rPr>
                      <w:t xml:space="preserve">第 </w:t>
                    </w:r>
                    <w:r>
                      <w:fldChar w:fldCharType="begin"/>
                    </w:r>
                    <w:r>
                      <w:instrText xml:space="preserve"> PAGE  \* MERGEFORMAT </w:instrText>
                    </w:r>
                    <w:r>
                      <w:fldChar w:fldCharType="separate"/>
                    </w:r>
                    <w:r>
                      <w:t>33</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950CB">
    <w:pPr>
      <w:pStyle w:val="11"/>
      <w:tabs>
        <w:tab w:val="left" w:pos="323"/>
      </w:tabs>
      <w:jc w:val="right"/>
      <w:rPr>
        <w:rFonts w:hint="default" w:asciiTheme="minorEastAsia" w:hAnsiTheme="minorEastAsia" w:eastAsiaTheme="minorEastAsia"/>
        <w:b/>
        <w:lang w:val="en-US" w:eastAsia="zh-CN"/>
      </w:rPr>
    </w:pPr>
    <w:r>
      <w:drawing>
        <wp:anchor distT="0" distB="0" distL="114300" distR="114300" simplePos="0" relativeHeight="251660288" behindDoc="0" locked="0" layoutInCell="1" allowOverlap="1">
          <wp:simplePos x="0" y="0"/>
          <wp:positionH relativeFrom="column">
            <wp:posOffset>20955</wp:posOffset>
          </wp:positionH>
          <wp:positionV relativeFrom="paragraph">
            <wp:posOffset>-69850</wp:posOffset>
          </wp:positionV>
          <wp:extent cx="1701800" cy="202565"/>
          <wp:effectExtent l="0" t="0" r="12700" b="6985"/>
          <wp:wrapNone/>
          <wp:docPr id="1"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tab/>
    </w:r>
    <w:r>
      <w:tab/>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w:t>
    </w:r>
    <w:r>
      <w:rPr>
        <w:rFonts w:hint="eastAsia" w:asciiTheme="minorEastAsia" w:hAnsiTheme="minorEastAsia" w:eastAsiaTheme="minorEastAsia"/>
        <w:b/>
        <w:sz w:val="20"/>
        <w:lang w:eastAsia="zh-CN"/>
      </w:rPr>
      <w:t>202</w:t>
    </w:r>
    <w:r>
      <w:rPr>
        <w:rFonts w:hint="eastAsia" w:asciiTheme="minorEastAsia" w:hAnsiTheme="minorEastAsia" w:eastAsiaTheme="minorEastAsia"/>
        <w:b/>
        <w:sz w:val="20"/>
        <w:lang w:val="en-US" w:eastAsia="zh-CN"/>
      </w:rPr>
      <w:t>40601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2B0E">
    <w:pPr>
      <w:pStyle w:val="11"/>
      <w:jc w:val="right"/>
      <w:rPr>
        <w:rFonts w:hint="default" w:ascii="宋体" w:hAnsi="宋体" w:eastAsia="宋体" w:cs="宋体"/>
        <w:b/>
        <w:bCs/>
        <w:sz w:val="21"/>
        <w:szCs w:val="21"/>
        <w:lang w:val="en-US" w:eastAsia="zh-CN"/>
      </w:rPr>
    </w:pPr>
    <w:r>
      <w:drawing>
        <wp:anchor distT="0" distB="0" distL="114300" distR="114300" simplePos="0" relativeHeight="251659264" behindDoc="0" locked="0" layoutInCell="1" allowOverlap="1">
          <wp:simplePos x="0" y="0"/>
          <wp:positionH relativeFrom="column">
            <wp:posOffset>-46355</wp:posOffset>
          </wp:positionH>
          <wp:positionV relativeFrom="paragraph">
            <wp:posOffset>-95250</wp:posOffset>
          </wp:positionV>
          <wp:extent cx="1704975" cy="200025"/>
          <wp:effectExtent l="0" t="0" r="9525" b="9525"/>
          <wp:wrapNone/>
          <wp:docPr id="2"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4975" cy="200025"/>
                  </a:xfrm>
                  <a:prstGeom prst="rect">
                    <a:avLst/>
                  </a:prstGeom>
                  <a:noFill/>
                  <a:ln>
                    <a:noFill/>
                  </a:ln>
                </pic:spPr>
              </pic:pic>
            </a:graphicData>
          </a:graphic>
        </wp:anchor>
      </w:drawing>
    </w:r>
    <w:r>
      <w:rPr>
        <w:rFonts w:hint="eastAsia"/>
      </w:rPr>
      <w:t xml:space="preserve">                                                                  </w:t>
    </w:r>
    <w:r>
      <w:rPr>
        <w:rFonts w:hint="eastAsia" w:ascii="宋体" w:hAnsi="宋体" w:eastAsia="宋体" w:cs="宋体"/>
        <w:b/>
        <w:bCs/>
        <w:lang w:val="en-US" w:eastAsia="zh-CN"/>
      </w:rPr>
      <w:t>PLHR-ZB-FW-</w:t>
    </w:r>
    <w:r>
      <w:rPr>
        <w:rFonts w:hint="eastAsia" w:ascii="宋体" w:hAnsi="宋体" w:cs="宋体"/>
        <w:b/>
        <w:bCs/>
        <w:lang w:val="en-US" w:eastAsia="zh-CN"/>
      </w:rPr>
      <w:t>20240601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CCA57">
    <w:pPr>
      <w:pStyle w:val="11"/>
      <w:tabs>
        <w:tab w:val="left" w:pos="323"/>
      </w:tabs>
      <w:jc w:val="right"/>
      <w:rPr>
        <w:rFonts w:hint="default" w:asciiTheme="minorEastAsia" w:hAnsiTheme="minorEastAsia" w:eastAsiaTheme="minorEastAsia"/>
        <w:b/>
        <w:sz w:val="20"/>
        <w:lang w:val="en-US" w:eastAsia="zh-CN"/>
      </w:rPr>
    </w:pPr>
    <w:r>
      <w:rPr>
        <w:rFonts w:ascii="宋体" w:hAnsi="宋体"/>
      </w:rPr>
      <w:drawing>
        <wp:anchor distT="0" distB="0" distL="114300" distR="114300" simplePos="0" relativeHeight="251663360" behindDoc="0" locked="0" layoutInCell="1" allowOverlap="1">
          <wp:simplePos x="0" y="0"/>
          <wp:positionH relativeFrom="column">
            <wp:posOffset>52070</wp:posOffset>
          </wp:positionH>
          <wp:positionV relativeFrom="paragraph">
            <wp:posOffset>-121285</wp:posOffset>
          </wp:positionV>
          <wp:extent cx="1701800" cy="202565"/>
          <wp:effectExtent l="19050" t="0" r="0" b="0"/>
          <wp:wrapNone/>
          <wp:docPr id="3" name="Picture 1" descr="鹏劳标志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鹏劳标志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701800" cy="202565"/>
                  </a:xfrm>
                  <a:prstGeom prst="rect">
                    <a:avLst/>
                  </a:prstGeom>
                  <a:noFill/>
                  <a:ln>
                    <a:noFill/>
                  </a:ln>
                </pic:spPr>
              </pic:pic>
            </a:graphicData>
          </a:graphic>
        </wp:anchor>
      </w:drawing>
    </w:r>
    <w:r>
      <w:rPr>
        <w:rFonts w:hint="eastAsia" w:ascii="宋体" w:hAnsi="宋体"/>
      </w:rPr>
      <w:t xml:space="preserve">                                                                      </w:t>
    </w:r>
    <w:r>
      <w:rPr>
        <w:rFonts w:hint="eastAsia"/>
      </w:rPr>
      <w:t xml:space="preserve"> </w:t>
    </w:r>
    <w:r>
      <w:rPr>
        <w:rFonts w:hint="eastAsia" w:asciiTheme="minorEastAsia" w:hAnsiTheme="minorEastAsia" w:eastAsiaTheme="minorEastAsia"/>
        <w:b/>
      </w:rPr>
      <w:t xml:space="preserve"> </w:t>
    </w:r>
    <w:r>
      <w:rPr>
        <w:rFonts w:hint="eastAsia" w:asciiTheme="minorEastAsia" w:hAnsiTheme="minorEastAsia" w:eastAsiaTheme="minorEastAsia"/>
        <w:b/>
        <w:sz w:val="20"/>
      </w:rPr>
      <w:t>PLHR-ZB-FW-</w:t>
    </w:r>
    <w:r>
      <w:rPr>
        <w:rFonts w:hint="eastAsia" w:asciiTheme="minorEastAsia" w:hAnsiTheme="minorEastAsia" w:eastAsiaTheme="minorEastAsia"/>
        <w:b/>
        <w:sz w:val="20"/>
        <w:lang w:eastAsia="zh-CN"/>
      </w:rPr>
      <w:t>202</w:t>
    </w:r>
    <w:r>
      <w:rPr>
        <w:rFonts w:hint="eastAsia" w:asciiTheme="minorEastAsia" w:hAnsiTheme="minorEastAsia" w:eastAsiaTheme="minorEastAsia"/>
        <w:b/>
        <w:sz w:val="20"/>
        <w:lang w:val="en-US" w:eastAsia="zh-CN"/>
      </w:rPr>
      <w:t>406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676F2"/>
    <w:multiLevelType w:val="singleLevel"/>
    <w:tmpl w:val="82E676F2"/>
    <w:lvl w:ilvl="0" w:tentative="0">
      <w:start w:val="2"/>
      <w:numFmt w:val="chineseCounting"/>
      <w:suff w:val="nothing"/>
      <w:lvlText w:val="（%1）"/>
      <w:lvlJc w:val="left"/>
      <w:rPr>
        <w:rFonts w:hint="eastAsia"/>
      </w:rPr>
    </w:lvl>
  </w:abstractNum>
  <w:abstractNum w:abstractNumId="1">
    <w:nsid w:val="85FA445B"/>
    <w:multiLevelType w:val="singleLevel"/>
    <w:tmpl w:val="85FA445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2">
    <w:nsid w:val="864B08D5"/>
    <w:multiLevelType w:val="singleLevel"/>
    <w:tmpl w:val="864B08D5"/>
    <w:lvl w:ilvl="0" w:tentative="0">
      <w:start w:val="2"/>
      <w:numFmt w:val="chineseCounting"/>
      <w:suff w:val="nothing"/>
      <w:lvlText w:val="（%1）"/>
      <w:lvlJc w:val="left"/>
      <w:pPr>
        <w:tabs>
          <w:tab w:val="left" w:pos="0"/>
        </w:tabs>
      </w:pPr>
      <w:rPr>
        <w:rFonts w:hint="eastAsia" w:ascii="楷体" w:hAnsi="楷体" w:eastAsia="楷体" w:cs="楷体"/>
        <w:sz w:val="32"/>
        <w:szCs w:val="32"/>
      </w:rPr>
    </w:lvl>
  </w:abstractNum>
  <w:abstractNum w:abstractNumId="3">
    <w:nsid w:val="8DB1CE2F"/>
    <w:multiLevelType w:val="singleLevel"/>
    <w:tmpl w:val="8DB1CE2F"/>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4">
    <w:nsid w:val="93147EA9"/>
    <w:multiLevelType w:val="singleLevel"/>
    <w:tmpl w:val="93147EA9"/>
    <w:lvl w:ilvl="0" w:tentative="0">
      <w:start w:val="1"/>
      <w:numFmt w:val="decimal"/>
      <w:suff w:val="nothing"/>
      <w:lvlText w:val="%1."/>
      <w:lvlJc w:val="left"/>
    </w:lvl>
  </w:abstractNum>
  <w:abstractNum w:abstractNumId="5">
    <w:nsid w:val="A2E92810"/>
    <w:multiLevelType w:val="singleLevel"/>
    <w:tmpl w:val="A2E92810"/>
    <w:lvl w:ilvl="0" w:tentative="0">
      <w:start w:val="1"/>
      <w:numFmt w:val="decimal"/>
      <w:lvlText w:val="%1."/>
      <w:lvlJc w:val="left"/>
      <w:pPr>
        <w:tabs>
          <w:tab w:val="left" w:pos="312"/>
        </w:tabs>
      </w:pPr>
    </w:lvl>
  </w:abstractNum>
  <w:abstractNum w:abstractNumId="6">
    <w:nsid w:val="BC0F1120"/>
    <w:multiLevelType w:val="singleLevel"/>
    <w:tmpl w:val="BC0F1120"/>
    <w:lvl w:ilvl="0" w:tentative="0">
      <w:start w:val="7"/>
      <w:numFmt w:val="chineseCounting"/>
      <w:suff w:val="nothing"/>
      <w:lvlText w:val="%1、"/>
      <w:lvlJc w:val="left"/>
      <w:rPr>
        <w:rFonts w:hint="eastAsia"/>
      </w:rPr>
    </w:lvl>
  </w:abstractNum>
  <w:abstractNum w:abstractNumId="7">
    <w:nsid w:val="DB08DCF5"/>
    <w:multiLevelType w:val="singleLevel"/>
    <w:tmpl w:val="DB08DCF5"/>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8">
    <w:nsid w:val="EF63AE51"/>
    <w:multiLevelType w:val="singleLevel"/>
    <w:tmpl w:val="EF63AE51"/>
    <w:lvl w:ilvl="0" w:tentative="0">
      <w:start w:val="1"/>
      <w:numFmt w:val="chineseCounting"/>
      <w:suff w:val="nothing"/>
      <w:lvlText w:val="%1、"/>
      <w:lvlJc w:val="left"/>
      <w:pPr>
        <w:ind w:left="0" w:firstLine="420"/>
      </w:pPr>
      <w:rPr>
        <w:rFonts w:hint="eastAsia"/>
      </w:rPr>
    </w:lvl>
  </w:abstractNum>
  <w:abstractNum w:abstractNumId="9">
    <w:nsid w:val="1D4EF461"/>
    <w:multiLevelType w:val="singleLevel"/>
    <w:tmpl w:val="1D4EF461"/>
    <w:lvl w:ilvl="0" w:tentative="0">
      <w:start w:val="1"/>
      <w:numFmt w:val="chineseCounting"/>
      <w:suff w:val="nothing"/>
      <w:lvlText w:val="%1、"/>
      <w:lvlJc w:val="left"/>
      <w:pPr>
        <w:ind w:left="150"/>
      </w:pPr>
      <w:rPr>
        <w:rFonts w:hint="eastAsia"/>
      </w:rPr>
    </w:lvl>
  </w:abstractNum>
  <w:abstractNum w:abstractNumId="10">
    <w:nsid w:val="1E0AF197"/>
    <w:multiLevelType w:val="singleLevel"/>
    <w:tmpl w:val="1E0AF19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1">
    <w:nsid w:val="3AB08FB6"/>
    <w:multiLevelType w:val="singleLevel"/>
    <w:tmpl w:val="3AB08FB6"/>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2">
    <w:nsid w:val="42C983D7"/>
    <w:multiLevelType w:val="singleLevel"/>
    <w:tmpl w:val="42C983D7"/>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abstractNum w:abstractNumId="13">
    <w:nsid w:val="4941CD9D"/>
    <w:multiLevelType w:val="singleLevel"/>
    <w:tmpl w:val="4941CD9D"/>
    <w:lvl w:ilvl="0" w:tentative="0">
      <w:start w:val="1"/>
      <w:numFmt w:val="chineseCounting"/>
      <w:suff w:val="nothing"/>
      <w:lvlText w:val="（%1）"/>
      <w:lvlJc w:val="left"/>
      <w:pPr>
        <w:ind w:left="0" w:firstLine="420"/>
      </w:pPr>
      <w:rPr>
        <w:rFonts w:hint="eastAsia" w:ascii="楷体_GB2312" w:hAnsi="楷体_GB2312" w:eastAsia="楷体_GB2312" w:cs="楷体_GB2312"/>
        <w:sz w:val="32"/>
        <w:szCs w:val="32"/>
      </w:rPr>
    </w:lvl>
  </w:abstractNum>
  <w:abstractNum w:abstractNumId="14">
    <w:nsid w:val="744943FB"/>
    <w:multiLevelType w:val="singleLevel"/>
    <w:tmpl w:val="744943FB"/>
    <w:lvl w:ilvl="0" w:tentative="0">
      <w:start w:val="1"/>
      <w:numFmt w:val="chineseCounting"/>
      <w:suff w:val="nothing"/>
      <w:lvlText w:val="%1、"/>
      <w:lvlJc w:val="left"/>
      <w:pPr>
        <w:ind w:left="0" w:firstLine="420"/>
      </w:pPr>
      <w:rPr>
        <w:rFonts w:hint="eastAsia" w:ascii="仿宋_GB2312" w:hAnsi="仿宋_GB2312" w:eastAsia="仿宋_GB2312" w:cs="仿宋_GB2312"/>
        <w:sz w:val="32"/>
        <w:szCs w:val="32"/>
      </w:rPr>
    </w:lvl>
  </w:abstractNum>
  <w:num w:numId="1">
    <w:abstractNumId w:val="9"/>
  </w:num>
  <w:num w:numId="2">
    <w:abstractNumId w:val="6"/>
  </w:num>
  <w:num w:numId="3">
    <w:abstractNumId w:val="5"/>
  </w:num>
  <w:num w:numId="4">
    <w:abstractNumId w:val="0"/>
  </w:num>
  <w:num w:numId="5">
    <w:abstractNumId w:val="2"/>
  </w:num>
  <w:num w:numId="6">
    <w:abstractNumId w:val="10"/>
  </w:num>
  <w:num w:numId="7">
    <w:abstractNumId w:val="13"/>
  </w:num>
  <w:num w:numId="8">
    <w:abstractNumId w:val="3"/>
  </w:num>
  <w:num w:numId="9">
    <w:abstractNumId w:val="11"/>
  </w:num>
  <w:num w:numId="10">
    <w:abstractNumId w:val="1"/>
  </w:num>
  <w:num w:numId="11">
    <w:abstractNumId w:val="12"/>
  </w:num>
  <w:num w:numId="12">
    <w:abstractNumId w:val="14"/>
  </w:num>
  <w:num w:numId="13">
    <w:abstractNumId w:val="7"/>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xM2FhMDM0M2U5OGQ2ODA4NWZmYmM5MzU0ZjJmNjMifQ=="/>
  </w:docVars>
  <w:rsids>
    <w:rsidRoot w:val="54D5111E"/>
    <w:rsid w:val="004F4E3B"/>
    <w:rsid w:val="00596DC2"/>
    <w:rsid w:val="00780429"/>
    <w:rsid w:val="007A3BED"/>
    <w:rsid w:val="00B61DCC"/>
    <w:rsid w:val="01A87AFF"/>
    <w:rsid w:val="02005E2F"/>
    <w:rsid w:val="02E84657"/>
    <w:rsid w:val="02EB05EB"/>
    <w:rsid w:val="05563CC1"/>
    <w:rsid w:val="07A50D69"/>
    <w:rsid w:val="07E431A1"/>
    <w:rsid w:val="0A47511D"/>
    <w:rsid w:val="0AA43652"/>
    <w:rsid w:val="0D32133F"/>
    <w:rsid w:val="0EA73FA4"/>
    <w:rsid w:val="0EF46860"/>
    <w:rsid w:val="0EFE5203"/>
    <w:rsid w:val="10DA4AE1"/>
    <w:rsid w:val="11963E18"/>
    <w:rsid w:val="12FE28AC"/>
    <w:rsid w:val="14E4477F"/>
    <w:rsid w:val="14E76E65"/>
    <w:rsid w:val="15004E24"/>
    <w:rsid w:val="1532320F"/>
    <w:rsid w:val="16B71145"/>
    <w:rsid w:val="178B3F10"/>
    <w:rsid w:val="18695096"/>
    <w:rsid w:val="187C6998"/>
    <w:rsid w:val="19741246"/>
    <w:rsid w:val="19E738FF"/>
    <w:rsid w:val="1BCE28BC"/>
    <w:rsid w:val="1CE974F2"/>
    <w:rsid w:val="1E3F0699"/>
    <w:rsid w:val="21194A97"/>
    <w:rsid w:val="22E35977"/>
    <w:rsid w:val="22F26A8F"/>
    <w:rsid w:val="26BF6AFA"/>
    <w:rsid w:val="27D1591C"/>
    <w:rsid w:val="28037CAD"/>
    <w:rsid w:val="283730E9"/>
    <w:rsid w:val="28F30FBD"/>
    <w:rsid w:val="2B483082"/>
    <w:rsid w:val="2B6856E5"/>
    <w:rsid w:val="2CA60F5C"/>
    <w:rsid w:val="3212745D"/>
    <w:rsid w:val="322F0A82"/>
    <w:rsid w:val="327C76B1"/>
    <w:rsid w:val="388A0BD2"/>
    <w:rsid w:val="38C56E4D"/>
    <w:rsid w:val="39282E80"/>
    <w:rsid w:val="39423DBA"/>
    <w:rsid w:val="3A2A7073"/>
    <w:rsid w:val="3ADA6F7F"/>
    <w:rsid w:val="3DA86C84"/>
    <w:rsid w:val="3F5E56C6"/>
    <w:rsid w:val="3F942AFB"/>
    <w:rsid w:val="3F9E2F24"/>
    <w:rsid w:val="3FFB69CA"/>
    <w:rsid w:val="40EB2432"/>
    <w:rsid w:val="427E452A"/>
    <w:rsid w:val="444E1845"/>
    <w:rsid w:val="446E1EBF"/>
    <w:rsid w:val="451163D6"/>
    <w:rsid w:val="46A93A3F"/>
    <w:rsid w:val="48DF4119"/>
    <w:rsid w:val="4BED063C"/>
    <w:rsid w:val="4C03562B"/>
    <w:rsid w:val="4CEC3B57"/>
    <w:rsid w:val="503569BD"/>
    <w:rsid w:val="509A4E7A"/>
    <w:rsid w:val="53677451"/>
    <w:rsid w:val="54690411"/>
    <w:rsid w:val="54D5111E"/>
    <w:rsid w:val="54F60D0C"/>
    <w:rsid w:val="57870474"/>
    <w:rsid w:val="588A6436"/>
    <w:rsid w:val="5BB7253E"/>
    <w:rsid w:val="5C19346C"/>
    <w:rsid w:val="5D0E58F9"/>
    <w:rsid w:val="5D4C2B41"/>
    <w:rsid w:val="5DA62379"/>
    <w:rsid w:val="5E981662"/>
    <w:rsid w:val="5EEA1411"/>
    <w:rsid w:val="5EFC6003"/>
    <w:rsid w:val="60024330"/>
    <w:rsid w:val="62516C98"/>
    <w:rsid w:val="63A212F2"/>
    <w:rsid w:val="646A4041"/>
    <w:rsid w:val="65801643"/>
    <w:rsid w:val="65EA240F"/>
    <w:rsid w:val="662A1B70"/>
    <w:rsid w:val="69AA731B"/>
    <w:rsid w:val="69B04E15"/>
    <w:rsid w:val="6E6B2E90"/>
    <w:rsid w:val="72EE4600"/>
    <w:rsid w:val="75620B7E"/>
    <w:rsid w:val="75E218D9"/>
    <w:rsid w:val="77625EF4"/>
    <w:rsid w:val="77DA3C2E"/>
    <w:rsid w:val="7AAF7EB6"/>
    <w:rsid w:val="7B931C78"/>
    <w:rsid w:val="7C5D6089"/>
    <w:rsid w:val="7D1374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qFormat/>
    <w:uiPriority w:val="9"/>
    <w:pPr>
      <w:keepNext/>
      <w:keepLines/>
      <w:spacing w:before="260" w:after="260"/>
      <w:ind w:firstLine="200" w:firstLineChars="200"/>
      <w:outlineLvl w:val="2"/>
    </w:pPr>
    <w:rPr>
      <w:rFonts w:ascii="宋体" w:hAnsi="Times New Roman" w:eastAsia="宋体" w:cs="Times New Roman"/>
      <w:b/>
      <w:bCs/>
      <w:kern w:val="0"/>
      <w:sz w:val="28"/>
      <w:szCs w:val="30"/>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spacing w:after="120"/>
    </w:pPr>
  </w:style>
  <w:style w:type="paragraph" w:styleId="7">
    <w:name w:val="toc 3"/>
    <w:basedOn w:val="1"/>
    <w:next w:val="1"/>
    <w:qFormat/>
    <w:uiPriority w:val="39"/>
    <w:pPr>
      <w:ind w:left="840" w:leftChars="400"/>
    </w:pPr>
  </w:style>
  <w:style w:type="paragraph" w:styleId="8">
    <w:name w:val="Plain Text"/>
    <w:basedOn w:val="1"/>
    <w:qFormat/>
    <w:uiPriority w:val="0"/>
    <w:pPr>
      <w:spacing w:line="400" w:lineRule="exact"/>
      <w:ind w:firstLine="200" w:firstLineChars="200"/>
      <w:contextualSpacing/>
    </w:pPr>
    <w:rPr>
      <w:rFonts w:ascii="宋体" w:hAnsi="Courier New" w:eastAsia="宋体" w:cs="Times New Roman"/>
      <w:kern w:val="0"/>
      <w:sz w:val="24"/>
      <w:szCs w:val="20"/>
    </w:rPr>
  </w:style>
  <w:style w:type="paragraph" w:styleId="9">
    <w:name w:val="Balloon Text"/>
    <w:basedOn w:val="1"/>
    <w:link w:val="30"/>
    <w:qFormat/>
    <w:uiPriority w:val="0"/>
    <w:rPr>
      <w:sz w:val="18"/>
      <w:szCs w:val="18"/>
    </w:rPr>
  </w:style>
  <w:style w:type="paragraph" w:styleId="10">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11">
    <w:name w:val="header"/>
    <w:basedOn w:val="1"/>
    <w:unhideWhenUsed/>
    <w:qFormat/>
    <w:uiPriority w:val="0"/>
    <w:pPr>
      <w:pBdr>
        <w:bottom w:val="single" w:color="auto" w:sz="6" w:space="1"/>
      </w:pBdr>
      <w:tabs>
        <w:tab w:val="center" w:pos="4153"/>
        <w:tab w:val="right" w:pos="8306"/>
      </w:tabs>
      <w:snapToGrid w:val="0"/>
      <w:jc w:val="center"/>
    </w:pPr>
    <w:rPr>
      <w:rFonts w:ascii="Calibri" w:hAnsi="Calibri" w:eastAsia="宋体" w:cs="Times New Roman"/>
      <w:kern w:val="0"/>
      <w:sz w:val="18"/>
      <w:szCs w:val="18"/>
    </w:rPr>
  </w:style>
  <w:style w:type="paragraph" w:styleId="12">
    <w:name w:val="toc 1"/>
    <w:basedOn w:val="1"/>
    <w:next w:val="1"/>
    <w:qFormat/>
    <w:uiPriority w:val="39"/>
    <w:pPr>
      <w:tabs>
        <w:tab w:val="right" w:leader="dot" w:pos="8295"/>
      </w:tabs>
      <w:spacing w:before="120" w:after="120" w:line="360" w:lineRule="auto"/>
      <w:ind w:firstLine="207" w:firstLineChars="98"/>
      <w:jc w:val="left"/>
    </w:pPr>
    <w:rPr>
      <w:rFonts w:ascii="宋体" w:hAnsi="宋体" w:eastAsia="宋体" w:cs="Times New Roman"/>
      <w:b/>
      <w:bCs/>
      <w:caps/>
      <w:kern w:val="0"/>
      <w:szCs w:val="21"/>
    </w:rPr>
  </w:style>
  <w:style w:type="paragraph" w:styleId="13">
    <w:name w:val="Subtitle"/>
    <w:basedOn w:val="1"/>
    <w:next w:val="1"/>
    <w:qFormat/>
    <w:uiPriority w:val="0"/>
    <w:pPr>
      <w:spacing w:before="240" w:after="60" w:line="312" w:lineRule="auto"/>
      <w:ind w:firstLine="360" w:firstLineChars="360"/>
      <w:jc w:val="center"/>
      <w:outlineLvl w:val="1"/>
    </w:pPr>
    <w:rPr>
      <w:rFonts w:ascii="Cambria" w:hAnsi="Cambria" w:eastAsia="宋体" w:cs="Times New Roman"/>
      <w:b/>
      <w:bCs/>
      <w:kern w:val="28"/>
      <w:sz w:val="32"/>
      <w:szCs w:val="32"/>
    </w:rPr>
  </w:style>
  <w:style w:type="paragraph" w:styleId="14">
    <w:name w:val="toc 2"/>
    <w:basedOn w:val="1"/>
    <w:next w:val="1"/>
    <w:qFormat/>
    <w:uiPriority w:val="39"/>
    <w:pPr>
      <w:tabs>
        <w:tab w:val="right" w:leader="dot" w:pos="8295"/>
      </w:tabs>
      <w:spacing w:line="360" w:lineRule="auto"/>
      <w:ind w:left="210"/>
      <w:jc w:val="left"/>
    </w:pPr>
    <w:rPr>
      <w:rFonts w:ascii="宋体" w:hAnsi="宋体" w:eastAsia="宋体" w:cs="Times New Roman"/>
      <w:b/>
      <w:smallCaps/>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Emphasis"/>
    <w:basedOn w:val="17"/>
    <w:qFormat/>
    <w:uiPriority w:val="0"/>
    <w:rPr>
      <w:i/>
    </w:rPr>
  </w:style>
  <w:style w:type="character" w:styleId="19">
    <w:name w:val="Hyperlink"/>
    <w:basedOn w:val="17"/>
    <w:qFormat/>
    <w:uiPriority w:val="0"/>
    <w:rPr>
      <w:color w:val="0000FF"/>
      <w:u w:val="single"/>
    </w:rPr>
  </w:style>
  <w:style w:type="paragraph" w:styleId="20">
    <w:name w:val="List Paragraph"/>
    <w:basedOn w:val="1"/>
    <w:qFormat/>
    <w:uiPriority w:val="0"/>
    <w:pPr>
      <w:ind w:firstLine="420" w:firstLineChars="200"/>
    </w:pPr>
    <w:rPr>
      <w:rFonts w:ascii="Calibri" w:hAnsi="Calibri" w:eastAsia="宋体" w:cs="Times New Roman"/>
      <w:kern w:val="0"/>
      <w:sz w:val="20"/>
      <w:szCs w:val="20"/>
    </w:rPr>
  </w:style>
  <w:style w:type="character" w:customStyle="1" w:styleId="21">
    <w:name w:val="标题1"/>
    <w:qFormat/>
    <w:uiPriority w:val="0"/>
  </w:style>
  <w:style w:type="paragraph" w:customStyle="1" w:styleId="22">
    <w:name w:val="1"/>
    <w:basedOn w:val="1"/>
    <w:qFormat/>
    <w:uiPriority w:val="0"/>
    <w:pPr>
      <w:spacing w:beforeLines="50" w:afterLines="50"/>
    </w:pPr>
    <w:rPr>
      <w:rFonts w:ascii="微软雅黑" w:hAnsi="微软雅黑" w:eastAsia="微软雅黑"/>
      <w:b/>
      <w:sz w:val="18"/>
      <w:szCs w:val="18"/>
    </w:rPr>
  </w:style>
  <w:style w:type="paragraph" w:customStyle="1" w:styleId="23">
    <w:name w:val="Default Text"/>
    <w:basedOn w:val="1"/>
    <w:qFormat/>
    <w:uiPriority w:val="0"/>
    <w:pPr>
      <w:autoSpaceDE w:val="0"/>
      <w:autoSpaceDN w:val="0"/>
      <w:adjustRightInd w:val="0"/>
      <w:jc w:val="left"/>
    </w:pPr>
    <w:rPr>
      <w:kern w:val="0"/>
      <w:sz w:val="24"/>
      <w:szCs w:val="24"/>
    </w:rPr>
  </w:style>
  <w:style w:type="character" w:customStyle="1" w:styleId="24">
    <w:name w:val="font21"/>
    <w:basedOn w:val="17"/>
    <w:qFormat/>
    <w:uiPriority w:val="0"/>
    <w:rPr>
      <w:rFonts w:hint="default" w:ascii="Arial" w:hAnsi="Arial" w:cs="Arial"/>
      <w:color w:val="000000"/>
      <w:sz w:val="18"/>
      <w:szCs w:val="18"/>
      <w:u w:val="none"/>
    </w:rPr>
  </w:style>
  <w:style w:type="character" w:customStyle="1" w:styleId="25">
    <w:name w:val="font41"/>
    <w:basedOn w:val="17"/>
    <w:qFormat/>
    <w:uiPriority w:val="0"/>
    <w:rPr>
      <w:rFonts w:hint="eastAsia" w:ascii="宋体" w:hAnsi="宋体" w:eastAsia="宋体" w:cs="宋体"/>
      <w:color w:val="000000"/>
      <w:sz w:val="18"/>
      <w:szCs w:val="18"/>
      <w:u w:val="none"/>
    </w:rPr>
  </w:style>
  <w:style w:type="character" w:customStyle="1" w:styleId="26">
    <w:name w:val="font11"/>
    <w:basedOn w:val="17"/>
    <w:qFormat/>
    <w:uiPriority w:val="0"/>
    <w:rPr>
      <w:rFonts w:ascii="Arial" w:hAnsi="Arial" w:cs="Arial"/>
      <w:color w:val="000000"/>
      <w:sz w:val="18"/>
      <w:szCs w:val="18"/>
      <w:u w:val="none"/>
    </w:rPr>
  </w:style>
  <w:style w:type="character" w:customStyle="1" w:styleId="27">
    <w:name w:val="font31"/>
    <w:basedOn w:val="17"/>
    <w:qFormat/>
    <w:uiPriority w:val="0"/>
    <w:rPr>
      <w:rFonts w:hint="eastAsia" w:ascii="宋体" w:hAnsi="宋体" w:eastAsia="宋体" w:cs="宋体"/>
      <w:color w:val="000000"/>
      <w:sz w:val="18"/>
      <w:szCs w:val="18"/>
      <w:u w:val="none"/>
    </w:rPr>
  </w:style>
  <w:style w:type="character" w:customStyle="1" w:styleId="28">
    <w:name w:val="font51"/>
    <w:basedOn w:val="17"/>
    <w:qFormat/>
    <w:uiPriority w:val="0"/>
    <w:rPr>
      <w:rFonts w:hint="default" w:ascii="Times New Roman" w:hAnsi="Times New Roman" w:cs="Times New Roman"/>
      <w:color w:val="000000"/>
      <w:sz w:val="20"/>
      <w:szCs w:val="20"/>
      <w:u w:val="none"/>
    </w:rPr>
  </w:style>
  <w:style w:type="character" w:customStyle="1" w:styleId="29">
    <w:name w:val="font01"/>
    <w:basedOn w:val="17"/>
    <w:qFormat/>
    <w:uiPriority w:val="0"/>
    <w:rPr>
      <w:rFonts w:hint="eastAsia" w:ascii="宋体" w:hAnsi="宋体" w:eastAsia="宋体" w:cs="宋体"/>
      <w:color w:val="000000"/>
      <w:sz w:val="20"/>
      <w:szCs w:val="20"/>
      <w:u w:val="none"/>
    </w:rPr>
  </w:style>
  <w:style w:type="character" w:customStyle="1" w:styleId="30">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31">
    <w:name w:val="列出段落1"/>
    <w:basedOn w:val="1"/>
    <w:qFormat/>
    <w:uiPriority w:val="0"/>
    <w:pPr>
      <w:spacing w:beforeLines="50" w:after="156" w:line="240" w:lineRule="atLeast"/>
      <w:ind w:left="425"/>
    </w:pPr>
    <w:rPr>
      <w:rFonts w:eastAsia="仿宋_GB2312"/>
      <w:sz w:val="24"/>
    </w:rPr>
  </w:style>
  <w:style w:type="character" w:customStyle="1" w:styleId="32">
    <w:name w:val="font61"/>
    <w:basedOn w:val="17"/>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21689</Words>
  <Characters>22900</Characters>
  <Lines>180</Lines>
  <Paragraphs>50</Paragraphs>
  <TotalTime>2</TotalTime>
  <ScaleCrop>false</ScaleCrop>
  <LinksUpToDate>false</LinksUpToDate>
  <CharactersWithSpaces>23504</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2020-08-03T01:21:00Z</dcterms:created>
  <dc:creator>运营部-陈宁</dc:creator>
  <cp:lastModifiedBy>运营部-黄旭君</cp:lastModifiedBy>
  <cp:lastPrinted>2020-08-06T10:49:00Z</cp:lastPrinted>
  <dcterms:modified xsi:type="dcterms:W3CDTF">2024-09-25T01:37:36Z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A6EFDEA0D4014433B8B43C7A80B261D4_13</vt:lpwstr>
  </property>
</Properties>
</file>